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53" w:rsidRPr="008F7C16" w:rsidRDefault="00013C53" w:rsidP="004D2F3C">
      <w:pPr>
        <w:jc w:val="center"/>
        <w:rPr>
          <w:snapToGrid w:val="0"/>
          <w:spacing w:val="8"/>
        </w:rPr>
      </w:pPr>
      <w:r w:rsidRPr="008F7C16">
        <w:rPr>
          <w:snapToGrid w:val="0"/>
          <w:spacing w:val="8"/>
          <w:lang w:val="uk-UA"/>
        </w:rPr>
        <w:t xml:space="preserve"> </w:t>
      </w:r>
      <w:r w:rsidRPr="005C40E9">
        <w:rPr>
          <w:noProof/>
          <w:spacing w:val="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5" o:title=""/>
          </v:shape>
        </w:pict>
      </w:r>
    </w:p>
    <w:p w:rsidR="00013C53" w:rsidRPr="008F7C16" w:rsidRDefault="00013C53" w:rsidP="00EB7C82">
      <w:pPr>
        <w:pStyle w:val="Heading1"/>
        <w:jc w:val="center"/>
        <w:rPr>
          <w:b/>
          <w:i w:val="0"/>
          <w:szCs w:val="28"/>
          <w:lang w:val="ru-RU"/>
        </w:rPr>
      </w:pPr>
      <w:r w:rsidRPr="008F7C16">
        <w:rPr>
          <w:b/>
          <w:i w:val="0"/>
          <w:szCs w:val="28"/>
        </w:rPr>
        <w:t>УКРАЇНА</w:t>
      </w:r>
    </w:p>
    <w:p w:rsidR="00013C53" w:rsidRPr="008F7C16" w:rsidRDefault="00013C53" w:rsidP="00511E3A">
      <w:pPr>
        <w:jc w:val="center"/>
        <w:rPr>
          <w:b/>
          <w:sz w:val="28"/>
          <w:szCs w:val="28"/>
          <w:lang w:val="uk-UA"/>
        </w:rPr>
      </w:pPr>
      <w:r w:rsidRPr="008F7C16">
        <w:rPr>
          <w:b/>
          <w:sz w:val="28"/>
          <w:szCs w:val="28"/>
          <w:lang w:val="uk-UA"/>
        </w:rPr>
        <w:t>ВОЛИНСЬКА ОБЛАСТЬ</w:t>
      </w:r>
    </w:p>
    <w:p w:rsidR="00013C53" w:rsidRPr="008F7C16" w:rsidRDefault="00013C53" w:rsidP="00511E3A">
      <w:pPr>
        <w:jc w:val="center"/>
        <w:rPr>
          <w:b/>
          <w:sz w:val="28"/>
          <w:szCs w:val="28"/>
          <w:lang w:val="uk-UA"/>
        </w:rPr>
      </w:pPr>
      <w:r w:rsidRPr="008F7C16">
        <w:rPr>
          <w:b/>
          <w:sz w:val="28"/>
          <w:szCs w:val="28"/>
          <w:lang w:val="uk-UA"/>
        </w:rPr>
        <w:t>КОМУНАЛЬНЕ ПІДПРИЄМСТВО</w:t>
      </w:r>
    </w:p>
    <w:p w:rsidR="00013C53" w:rsidRPr="008F7C16" w:rsidRDefault="00013C53" w:rsidP="00511E3A">
      <w:pPr>
        <w:jc w:val="center"/>
        <w:rPr>
          <w:b/>
          <w:sz w:val="28"/>
          <w:szCs w:val="28"/>
          <w:lang w:val="uk-UA"/>
        </w:rPr>
      </w:pPr>
      <w:r w:rsidRPr="008F7C16">
        <w:rPr>
          <w:b/>
          <w:sz w:val="28"/>
          <w:szCs w:val="28"/>
          <w:lang w:val="uk-UA"/>
        </w:rPr>
        <w:t>«РОЖИЩЕНСЬКА БАГАТОПРОФІЛЬНА ЛІКАРНЯ»</w:t>
      </w:r>
    </w:p>
    <w:p w:rsidR="00013C53" w:rsidRPr="008F7C16" w:rsidRDefault="00013C53" w:rsidP="00511E3A">
      <w:pPr>
        <w:jc w:val="center"/>
        <w:rPr>
          <w:lang w:val="uk-UA"/>
        </w:rPr>
      </w:pPr>
      <w:r w:rsidRPr="008F7C16">
        <w:rPr>
          <w:b/>
          <w:sz w:val="28"/>
          <w:szCs w:val="28"/>
          <w:lang w:val="uk-UA"/>
        </w:rPr>
        <w:t>РОЖИЩЕНСЬКОЇ МІСЬКОЇ РАДИ</w:t>
      </w:r>
    </w:p>
    <w:p w:rsidR="00013C53" w:rsidRPr="008F7C16" w:rsidRDefault="00013C53" w:rsidP="004D2F3C">
      <w:pPr>
        <w:jc w:val="center"/>
        <w:rPr>
          <w:lang w:val="uk-UA"/>
        </w:rPr>
      </w:pPr>
      <w:r w:rsidRPr="008F7C16">
        <w:rPr>
          <w:lang w:val="uk-UA"/>
        </w:rPr>
        <w:t xml:space="preserve">вул. Коте Шилокадзе, </w:t>
      </w:r>
      <w:smartTag w:uri="urn:schemas-microsoft-com:office:smarttags" w:element="metricconverter">
        <w:smartTagPr>
          <w:attr w:name="ProductID" w:val="19, м"/>
        </w:smartTagPr>
        <w:r w:rsidRPr="008F7C16">
          <w:rPr>
            <w:lang w:val="uk-UA"/>
          </w:rPr>
          <w:t>19, м</w:t>
        </w:r>
      </w:smartTag>
      <w:r w:rsidRPr="008F7C16">
        <w:rPr>
          <w:lang w:val="uk-UA"/>
        </w:rPr>
        <w:t xml:space="preserve">. Рожище, 45100, тел./факс (03368) 21 248, </w:t>
      </w:r>
    </w:p>
    <w:p w:rsidR="00013C53" w:rsidRPr="008F7C16" w:rsidRDefault="00013C53" w:rsidP="004D2F3C">
      <w:pPr>
        <w:jc w:val="center"/>
        <w:rPr>
          <w:lang w:val="uk-UA"/>
        </w:rPr>
      </w:pPr>
      <w:r w:rsidRPr="008F7C16">
        <w:rPr>
          <w:lang w:val="uk-UA"/>
        </w:rPr>
        <w:t xml:space="preserve"> е-</w:t>
      </w:r>
      <w:r w:rsidRPr="008F7C16">
        <w:rPr>
          <w:lang w:val="en-US"/>
        </w:rPr>
        <w:t>mail</w:t>
      </w:r>
      <w:r w:rsidRPr="008F7C16">
        <w:rPr>
          <w:lang w:val="uk-UA"/>
        </w:rPr>
        <w:t xml:space="preserve">: </w:t>
      </w:r>
      <w:r w:rsidRPr="008F7C16">
        <w:rPr>
          <w:lang w:val="en-US"/>
        </w:rPr>
        <w:t>roz</w:t>
      </w:r>
      <w:r w:rsidRPr="008F7C16">
        <w:rPr>
          <w:lang w:val="uk-UA"/>
        </w:rPr>
        <w:t>_</w:t>
      </w:r>
      <w:r w:rsidRPr="008F7C16">
        <w:rPr>
          <w:lang w:val="en-US"/>
        </w:rPr>
        <w:t>clinik</w:t>
      </w:r>
      <w:r w:rsidRPr="008F7C16">
        <w:rPr>
          <w:lang w:val="uk-UA"/>
        </w:rPr>
        <w:t>@</w:t>
      </w:r>
      <w:r w:rsidRPr="008F7C16">
        <w:rPr>
          <w:lang w:val="en-US"/>
        </w:rPr>
        <w:t>ukr</w:t>
      </w:r>
      <w:r w:rsidRPr="008F7C16">
        <w:rPr>
          <w:lang w:val="uk-UA"/>
        </w:rPr>
        <w:t>.</w:t>
      </w:r>
      <w:r w:rsidRPr="008F7C16">
        <w:rPr>
          <w:lang w:val="en-US"/>
        </w:rPr>
        <w:t>net</w:t>
      </w:r>
      <w:r w:rsidRPr="008F7C16">
        <w:rPr>
          <w:lang w:val="uk-UA"/>
        </w:rPr>
        <w:t>,  код ЄДРПОУ 01982910</w:t>
      </w:r>
    </w:p>
    <w:p w:rsidR="00013C53" w:rsidRPr="008F7C16" w:rsidRDefault="00013C53" w:rsidP="004D2F3C">
      <w:pPr>
        <w:jc w:val="center"/>
        <w:rPr>
          <w:lang w:val="uk-UA"/>
        </w:rPr>
      </w:pPr>
      <w:r w:rsidRPr="008F7C16">
        <w:rPr>
          <w:lang w:val="uk-UA"/>
        </w:rPr>
        <w:t>_______________________________________________________________________________</w:t>
      </w:r>
    </w:p>
    <w:tbl>
      <w:tblPr>
        <w:tblW w:w="9927" w:type="dxa"/>
        <w:tblLook w:val="00A0"/>
      </w:tblPr>
      <w:tblGrid>
        <w:gridCol w:w="5070"/>
        <w:gridCol w:w="4857"/>
      </w:tblGrid>
      <w:tr w:rsidR="00013C53" w:rsidRPr="008F7C16" w:rsidTr="00D302D8">
        <w:tc>
          <w:tcPr>
            <w:tcW w:w="5070" w:type="dxa"/>
          </w:tcPr>
          <w:p w:rsidR="00013C53" w:rsidRPr="00D302D8" w:rsidRDefault="00013C53" w:rsidP="00D302D8">
            <w:pPr>
              <w:jc w:val="center"/>
              <w:rPr>
                <w:lang w:val="uk-UA"/>
              </w:rPr>
            </w:pPr>
          </w:p>
        </w:tc>
        <w:tc>
          <w:tcPr>
            <w:tcW w:w="4857" w:type="dxa"/>
          </w:tcPr>
          <w:p w:rsidR="00013C53" w:rsidRPr="00D302D8" w:rsidRDefault="00013C53" w:rsidP="00D302D8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013C53" w:rsidRPr="006D3AF7" w:rsidRDefault="00013C53" w:rsidP="0063305F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>ПОЯСНЮВАЛЬНА ЗАПИСКА</w:t>
      </w:r>
    </w:p>
    <w:p w:rsidR="00013C53" w:rsidRDefault="00013C53" w:rsidP="006330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результатів діяльності за 9 місяців 2022 року</w:t>
      </w:r>
      <w:r w:rsidRPr="006D3AF7">
        <w:rPr>
          <w:sz w:val="28"/>
          <w:szCs w:val="28"/>
        </w:rPr>
        <w:t xml:space="preserve"> </w:t>
      </w:r>
    </w:p>
    <w:p w:rsidR="00013C53" w:rsidRPr="006D3AF7" w:rsidRDefault="00013C53" w:rsidP="0063305F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 xml:space="preserve">комунального підприємства «Рожищенська багатопрофільна лікарня» </w:t>
      </w:r>
    </w:p>
    <w:p w:rsidR="00013C53" w:rsidRPr="003851F4" w:rsidRDefault="00013C53" w:rsidP="0063305F">
      <w:pPr>
        <w:jc w:val="center"/>
        <w:rPr>
          <w:sz w:val="28"/>
          <w:szCs w:val="28"/>
          <w:lang w:val="uk-UA"/>
        </w:rPr>
      </w:pPr>
      <w:r w:rsidRPr="006D3AF7">
        <w:rPr>
          <w:sz w:val="28"/>
          <w:szCs w:val="28"/>
        </w:rPr>
        <w:t>Рожище</w:t>
      </w:r>
      <w:r>
        <w:rPr>
          <w:sz w:val="28"/>
          <w:szCs w:val="28"/>
        </w:rPr>
        <w:t>нської міської ради</w:t>
      </w:r>
    </w:p>
    <w:p w:rsidR="00013C53" w:rsidRPr="008F7C16" w:rsidRDefault="00013C53" w:rsidP="0063305F">
      <w:pPr>
        <w:spacing w:line="276" w:lineRule="auto"/>
        <w:jc w:val="both"/>
        <w:rPr>
          <w:sz w:val="16"/>
          <w:szCs w:val="16"/>
          <w:lang w:val="uk-UA"/>
        </w:rPr>
      </w:pPr>
    </w:p>
    <w:p w:rsidR="00013C53" w:rsidRPr="008F7C16" w:rsidRDefault="00013C53" w:rsidP="006263E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Комунальне підприємство «Рожищенська багатопрофільна лікарня» Рожищенської міської ради заб</w:t>
      </w:r>
      <w:r>
        <w:rPr>
          <w:sz w:val="28"/>
          <w:szCs w:val="28"/>
          <w:lang w:val="uk-UA"/>
        </w:rPr>
        <w:t xml:space="preserve">езпечує надання кваліфікованої </w:t>
      </w:r>
      <w:r w:rsidRPr="008F7C16">
        <w:rPr>
          <w:sz w:val="28"/>
          <w:szCs w:val="28"/>
          <w:lang w:val="uk-UA"/>
        </w:rPr>
        <w:t>спеціалізованої  (вторинної) амбулаторно-поліклінічної та стаціонарної медичної допомоги населенню. В її структуру входять консультативна поліклініка, в якій здійснюють консультативний прийом амбулаторних хворих лікарями по 20 спеціальност</w:t>
      </w:r>
      <w:r>
        <w:rPr>
          <w:sz w:val="28"/>
          <w:szCs w:val="28"/>
          <w:lang w:val="uk-UA"/>
        </w:rPr>
        <w:t>ях, стаціонарні відділення на 145</w:t>
      </w:r>
      <w:r w:rsidRPr="008F7C16">
        <w:rPr>
          <w:sz w:val="28"/>
          <w:szCs w:val="28"/>
          <w:lang w:val="uk-UA"/>
        </w:rPr>
        <w:t xml:space="preserve"> ліжок.  Крім того, для надання послуг пацієнтам організована робота приймального відділення, операційного блоку, фізіотерапевтичного відділення, кабінету функціональної діагностики, рентгенкабінету, кабінету ультразвукової діагностики, фіброгастродуоденоскопії, клініко-діагностичної лабораторії. </w:t>
      </w:r>
    </w:p>
    <w:p w:rsidR="00013C53" w:rsidRPr="008F7C16" w:rsidRDefault="00013C53" w:rsidP="006263E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Робота лікарні організована із цілодобовим режимом роботи з постійною готовністю надання своєчасної медичної допомоги населенню , забезпечено цілодобове чергування лікарів-хірургів, акушер-гінекологів, анестезіологів-реаніматологів.</w:t>
      </w:r>
    </w:p>
    <w:p w:rsidR="00013C53" w:rsidRPr="008F7C16" w:rsidRDefault="00013C53" w:rsidP="0099264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8F7C16">
        <w:rPr>
          <w:bCs/>
          <w:sz w:val="28"/>
          <w:szCs w:val="28"/>
          <w:lang w:val="uk-UA"/>
        </w:rPr>
        <w:t>07 лютого 2022 року п</w:t>
      </w:r>
      <w:r w:rsidRPr="008F7C16">
        <w:rPr>
          <w:bCs/>
          <w:sz w:val="28"/>
          <w:szCs w:val="28"/>
        </w:rPr>
        <w:t>ідприємством укладено договір № 0101-Е122-Р000/01 та 03 серпня 2022 року № 3892-Е722-Р000 з Національною службою здоров’я про медичне обслуговування населення за програмою медичних гарантій</w:t>
      </w:r>
      <w:r w:rsidRPr="008F7C16">
        <w:rPr>
          <w:bCs/>
          <w:sz w:val="28"/>
          <w:szCs w:val="28"/>
          <w:lang w:val="uk-UA"/>
        </w:rPr>
        <w:t xml:space="preserve"> на суму 49 029 963,88 грн.</w:t>
      </w:r>
    </w:p>
    <w:p w:rsidR="00013C53" w:rsidRPr="008F7C16" w:rsidRDefault="00013C53" w:rsidP="0099264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За 9 місяців надходження коштів становить </w:t>
      </w:r>
      <w:r w:rsidRPr="008F7C16">
        <w:rPr>
          <w:b/>
          <w:sz w:val="28"/>
          <w:szCs w:val="28"/>
          <w:u w:val="single"/>
          <w:lang w:val="uk-UA"/>
        </w:rPr>
        <w:t>36 892 561,96 грн.,</w:t>
      </w:r>
      <w:r w:rsidRPr="008F7C16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договору з Національною службою здоров’я про медичне обслуговування населення за програмою медичних гарантій та становлять </w:t>
      </w:r>
      <w:r w:rsidRPr="008F7C16">
        <w:rPr>
          <w:b/>
          <w:sz w:val="28"/>
          <w:szCs w:val="28"/>
          <w:u w:val="single"/>
          <w:lang w:val="uk-UA"/>
        </w:rPr>
        <w:t>33 902 129,9 грн. (91,9%)</w:t>
      </w:r>
      <w:r w:rsidRPr="008F7C16">
        <w:rPr>
          <w:sz w:val="28"/>
          <w:szCs w:val="28"/>
          <w:lang w:val="uk-UA"/>
        </w:rPr>
        <w:t xml:space="preserve"> . </w:t>
      </w:r>
    </w:p>
    <w:p w:rsidR="00013C53" w:rsidRPr="008F7C16" w:rsidRDefault="00013C53" w:rsidP="00992642">
      <w:pPr>
        <w:spacing w:line="276" w:lineRule="auto"/>
        <w:ind w:firstLine="709"/>
        <w:jc w:val="both"/>
        <w:rPr>
          <w:b/>
          <w:u w:val="single"/>
          <w:lang w:val="uk-UA"/>
        </w:rPr>
      </w:pPr>
      <w:r w:rsidRPr="008F7C16">
        <w:rPr>
          <w:sz w:val="28"/>
          <w:szCs w:val="28"/>
          <w:lang w:val="uk-UA" w:eastAsia="uk-UA" w:bidi="mr-IN"/>
        </w:rPr>
        <w:t xml:space="preserve"> З місцевого бюджету надійшло </w:t>
      </w:r>
      <w:r w:rsidRPr="008F7C16">
        <w:rPr>
          <w:b/>
          <w:sz w:val="28"/>
          <w:szCs w:val="28"/>
          <w:u w:val="single"/>
          <w:lang w:val="uk-UA" w:eastAsia="uk-UA" w:bidi="mr-IN"/>
        </w:rPr>
        <w:t>2 166 724,94 грн., (5,9%)</w:t>
      </w:r>
      <w:r w:rsidRPr="008F7C16">
        <w:rPr>
          <w:sz w:val="28"/>
          <w:szCs w:val="28"/>
          <w:lang w:val="uk-UA" w:eastAsia="uk-UA" w:bidi="mr-IN"/>
        </w:rPr>
        <w:t xml:space="preserve"> , за програмою</w:t>
      </w:r>
      <w:r w:rsidRPr="008F7C16">
        <w:rPr>
          <w:bCs/>
          <w:sz w:val="28"/>
          <w:szCs w:val="28"/>
          <w:lang w:val="uk-UA"/>
        </w:rPr>
        <w:t xml:space="preserve"> </w:t>
      </w:r>
      <w:r w:rsidRPr="008F7C16">
        <w:rPr>
          <w:sz w:val="28"/>
          <w:szCs w:val="28"/>
          <w:lang w:val="uk-UA"/>
        </w:rPr>
        <w:t xml:space="preserve">підтримки та </w:t>
      </w:r>
      <w:r w:rsidRPr="008F7C16">
        <w:rPr>
          <w:sz w:val="28"/>
          <w:szCs w:val="28"/>
          <w:shd w:val="clear" w:color="auto" w:fill="FFFFFF"/>
          <w:lang w:val="uk-UA"/>
        </w:rPr>
        <w:t xml:space="preserve">розвитку вторинної медичної допомоги на території Рожищенської територіальної громади на 2022 рік виділено – </w:t>
      </w:r>
      <w:r w:rsidRPr="008F7C16">
        <w:rPr>
          <w:b/>
          <w:sz w:val="28"/>
          <w:szCs w:val="28"/>
          <w:u w:val="single"/>
          <w:shd w:val="clear" w:color="auto" w:fill="FFFFFF"/>
          <w:lang w:val="uk-UA"/>
        </w:rPr>
        <w:t>3 970 000,0 грн.</w:t>
      </w:r>
    </w:p>
    <w:p w:rsidR="00013C53" w:rsidRPr="008F7C16" w:rsidRDefault="00013C53" w:rsidP="00992642">
      <w:pPr>
        <w:spacing w:after="158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8F7C16">
        <w:rPr>
          <w:sz w:val="28"/>
          <w:szCs w:val="28"/>
          <w:shd w:val="clear" w:color="auto" w:fill="FFFFFF"/>
          <w:lang w:val="uk-UA"/>
        </w:rPr>
        <w:t xml:space="preserve">          Інші доходи  ( реалізація послуг , оренда активів, інші надходження) – </w:t>
      </w:r>
      <w:r w:rsidRPr="008F7C16">
        <w:rPr>
          <w:b/>
          <w:sz w:val="28"/>
          <w:szCs w:val="28"/>
          <w:u w:val="single"/>
          <w:shd w:val="clear" w:color="auto" w:fill="FFFFFF"/>
        </w:rPr>
        <w:t>823</w:t>
      </w:r>
      <w:r w:rsidRPr="008F7C16">
        <w:rPr>
          <w:b/>
          <w:sz w:val="28"/>
          <w:szCs w:val="28"/>
          <w:u w:val="single"/>
          <w:shd w:val="clear" w:color="auto" w:fill="FFFFFF"/>
          <w:lang w:val="uk-UA"/>
        </w:rPr>
        <w:t> 7</w:t>
      </w:r>
      <w:r w:rsidRPr="008F7C16">
        <w:rPr>
          <w:b/>
          <w:sz w:val="28"/>
          <w:szCs w:val="28"/>
          <w:u w:val="single"/>
          <w:shd w:val="clear" w:color="auto" w:fill="FFFFFF"/>
        </w:rPr>
        <w:t>07</w:t>
      </w:r>
      <w:r w:rsidRPr="008F7C16">
        <w:rPr>
          <w:b/>
          <w:sz w:val="28"/>
          <w:szCs w:val="28"/>
          <w:u w:val="single"/>
          <w:shd w:val="clear" w:color="auto" w:fill="FFFFFF"/>
          <w:lang w:val="uk-UA"/>
        </w:rPr>
        <w:t>,</w:t>
      </w:r>
      <w:r w:rsidRPr="008F7C16">
        <w:rPr>
          <w:b/>
          <w:sz w:val="28"/>
          <w:szCs w:val="28"/>
          <w:u w:val="single"/>
          <w:shd w:val="clear" w:color="auto" w:fill="FFFFFF"/>
        </w:rPr>
        <w:t>12</w:t>
      </w:r>
      <w:r w:rsidRPr="008F7C16">
        <w:rPr>
          <w:b/>
          <w:sz w:val="28"/>
          <w:szCs w:val="28"/>
          <w:u w:val="single"/>
          <w:shd w:val="clear" w:color="auto" w:fill="FFFFFF"/>
          <w:lang w:val="uk-UA"/>
        </w:rPr>
        <w:t xml:space="preserve"> грн. (2,</w:t>
      </w:r>
      <w:r w:rsidRPr="008F7C16">
        <w:rPr>
          <w:b/>
          <w:sz w:val="28"/>
          <w:szCs w:val="28"/>
          <w:u w:val="single"/>
          <w:shd w:val="clear" w:color="auto" w:fill="FFFFFF"/>
          <w:lang w:val="en-US"/>
        </w:rPr>
        <w:t>2</w:t>
      </w:r>
      <w:r w:rsidRPr="008F7C16">
        <w:rPr>
          <w:b/>
          <w:sz w:val="28"/>
          <w:szCs w:val="28"/>
          <w:u w:val="single"/>
          <w:shd w:val="clear" w:color="auto" w:fill="FFFFFF"/>
          <w:lang w:val="uk-UA"/>
        </w:rPr>
        <w:t>%)</w:t>
      </w:r>
    </w:p>
    <w:p w:rsidR="00013C53" w:rsidRPr="008F7C16" w:rsidRDefault="00013C53" w:rsidP="00992642">
      <w:pPr>
        <w:spacing w:after="158"/>
        <w:jc w:val="center"/>
        <w:rPr>
          <w:b/>
          <w:sz w:val="28"/>
          <w:szCs w:val="28"/>
          <w:u w:val="single"/>
          <w:lang w:val="uk-UA"/>
        </w:rPr>
      </w:pPr>
      <w:r w:rsidRPr="008F7C16">
        <w:rPr>
          <w:b/>
          <w:sz w:val="28"/>
          <w:szCs w:val="28"/>
          <w:u w:val="single"/>
          <w:lang w:val="uk-UA"/>
        </w:rPr>
        <w:t xml:space="preserve">Надходження і використання коштів за </w:t>
      </w:r>
      <w:r w:rsidRPr="008F7C16">
        <w:rPr>
          <w:b/>
          <w:sz w:val="28"/>
          <w:szCs w:val="28"/>
          <w:u w:val="single"/>
        </w:rPr>
        <w:t>9 місяців</w:t>
      </w:r>
      <w:r w:rsidRPr="008F7C16">
        <w:rPr>
          <w:b/>
          <w:sz w:val="28"/>
          <w:szCs w:val="28"/>
          <w:u w:val="single"/>
          <w:lang w:val="uk-UA"/>
        </w:rPr>
        <w:t xml:space="preserve"> 2022 року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1701"/>
        <w:gridCol w:w="1984"/>
        <w:gridCol w:w="1843"/>
        <w:gridCol w:w="1843"/>
      </w:tblGrid>
      <w:tr w:rsidR="00013C53" w:rsidRPr="008F7C16" w:rsidTr="00297CEF">
        <w:trPr>
          <w:trHeight w:val="945"/>
        </w:trPr>
        <w:tc>
          <w:tcPr>
            <w:tcW w:w="2840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Залишок коштів на 01.01.2022</w:t>
            </w:r>
          </w:p>
        </w:tc>
        <w:tc>
          <w:tcPr>
            <w:tcW w:w="1984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/>
              </w:rPr>
              <w:t>Надходження коштів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Використання коштів</w:t>
            </w:r>
          </w:p>
        </w:tc>
        <w:tc>
          <w:tcPr>
            <w:tcW w:w="1843" w:type="dxa"/>
            <w:vAlign w:val="bottom"/>
          </w:tcPr>
          <w:p w:rsidR="00013C53" w:rsidRPr="008F7C16" w:rsidRDefault="00013C53" w:rsidP="00D34092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Залишок коштів на 01.10.2022</w:t>
            </w:r>
          </w:p>
        </w:tc>
      </w:tr>
      <w:tr w:rsidR="00013C53" w:rsidRPr="008F7C16" w:rsidTr="00297CEF">
        <w:trPr>
          <w:trHeight w:val="330"/>
        </w:trPr>
        <w:tc>
          <w:tcPr>
            <w:tcW w:w="2840" w:type="dxa"/>
            <w:noWrap/>
            <w:vAlign w:val="bottom"/>
          </w:tcPr>
          <w:p w:rsidR="00013C53" w:rsidRPr="008F7C16" w:rsidRDefault="00013C53" w:rsidP="00297CEF">
            <w:pPr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Реалізація медичних послуг (НСЗУ)</w:t>
            </w:r>
          </w:p>
        </w:tc>
        <w:tc>
          <w:tcPr>
            <w:tcW w:w="1701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4 362 182,30</w:t>
            </w:r>
          </w:p>
        </w:tc>
        <w:tc>
          <w:tcPr>
            <w:tcW w:w="1984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33 902 129,9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36 776 532,86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1 487 779,34</w:t>
            </w:r>
          </w:p>
        </w:tc>
      </w:tr>
      <w:tr w:rsidR="00013C53" w:rsidRPr="008F7C16" w:rsidTr="00297CEF">
        <w:trPr>
          <w:trHeight w:val="330"/>
        </w:trPr>
        <w:tc>
          <w:tcPr>
            <w:tcW w:w="2840" w:type="dxa"/>
            <w:noWrap/>
            <w:vAlign w:val="bottom"/>
          </w:tcPr>
          <w:p w:rsidR="00013C53" w:rsidRPr="008F7C16" w:rsidRDefault="00013C53" w:rsidP="00297CEF">
            <w:pPr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З міцевого бюджету за цільовими програмами</w:t>
            </w:r>
          </w:p>
        </w:tc>
        <w:tc>
          <w:tcPr>
            <w:tcW w:w="1701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2 166 724,94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2 166 724,94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</w:p>
        </w:tc>
      </w:tr>
      <w:tr w:rsidR="00013C53" w:rsidRPr="008F7C16" w:rsidTr="00297CEF">
        <w:trPr>
          <w:trHeight w:val="330"/>
        </w:trPr>
        <w:tc>
          <w:tcPr>
            <w:tcW w:w="2840" w:type="dxa"/>
            <w:noWrap/>
            <w:vAlign w:val="bottom"/>
          </w:tcPr>
          <w:p w:rsidR="00013C53" w:rsidRPr="008F7C16" w:rsidRDefault="00013C53" w:rsidP="00297CEF">
            <w:pPr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Реалізація продукції (товарів, робіт,послуг)</w:t>
            </w:r>
          </w:p>
        </w:tc>
        <w:tc>
          <w:tcPr>
            <w:tcW w:w="1701" w:type="dxa"/>
            <w:noWrap/>
            <w:vAlign w:val="bottom"/>
          </w:tcPr>
          <w:p w:rsidR="00013C53" w:rsidRPr="008F7C16" w:rsidRDefault="00013C53" w:rsidP="00D34092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72 162,51</w:t>
            </w:r>
          </w:p>
        </w:tc>
        <w:tc>
          <w:tcPr>
            <w:tcW w:w="1984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357 633,3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175 414,36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254 381,45</w:t>
            </w:r>
          </w:p>
        </w:tc>
      </w:tr>
      <w:tr w:rsidR="00013C53" w:rsidRPr="008F7C16" w:rsidTr="00297CEF">
        <w:trPr>
          <w:trHeight w:val="330"/>
        </w:trPr>
        <w:tc>
          <w:tcPr>
            <w:tcW w:w="2840" w:type="dxa"/>
            <w:noWrap/>
            <w:vAlign w:val="bottom"/>
          </w:tcPr>
          <w:p w:rsidR="00013C53" w:rsidRPr="008F7C16" w:rsidRDefault="00013C53" w:rsidP="00297CEF">
            <w:pPr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Реєстраційний внесок</w:t>
            </w:r>
          </w:p>
        </w:tc>
        <w:tc>
          <w:tcPr>
            <w:tcW w:w="1701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8400,0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8400,0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</w:p>
        </w:tc>
      </w:tr>
      <w:tr w:rsidR="00013C53" w:rsidRPr="008F7C16" w:rsidTr="00297CEF">
        <w:trPr>
          <w:trHeight w:val="330"/>
        </w:trPr>
        <w:tc>
          <w:tcPr>
            <w:tcW w:w="2840" w:type="dxa"/>
            <w:vAlign w:val="bottom"/>
          </w:tcPr>
          <w:p w:rsidR="00013C53" w:rsidRPr="008F7C16" w:rsidRDefault="00013C53" w:rsidP="00297CEF">
            <w:pPr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Операційна оренда активів</w:t>
            </w:r>
          </w:p>
        </w:tc>
        <w:tc>
          <w:tcPr>
            <w:tcW w:w="1701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100 358,74</w:t>
            </w:r>
          </w:p>
        </w:tc>
        <w:tc>
          <w:tcPr>
            <w:tcW w:w="1984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454 584,36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428 598,22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126 344,88</w:t>
            </w:r>
          </w:p>
        </w:tc>
      </w:tr>
      <w:tr w:rsidR="00013C53" w:rsidRPr="008F7C16" w:rsidTr="00297CEF">
        <w:trPr>
          <w:trHeight w:val="608"/>
        </w:trPr>
        <w:tc>
          <w:tcPr>
            <w:tcW w:w="2840" w:type="dxa"/>
            <w:noWrap/>
            <w:vAlign w:val="bottom"/>
          </w:tcPr>
          <w:p w:rsidR="00013C53" w:rsidRPr="008F7C16" w:rsidRDefault="00013C53" w:rsidP="00297CEF">
            <w:pPr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Виплата відсотків згідно депозиту</w:t>
            </w:r>
          </w:p>
        </w:tc>
        <w:tc>
          <w:tcPr>
            <w:tcW w:w="1701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  <w:lang w:val="uk-UA" w:eastAsia="uk-UA" w:bidi="mr-IN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3089,46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3089,46</w:t>
            </w:r>
          </w:p>
        </w:tc>
      </w:tr>
      <w:tr w:rsidR="00013C53" w:rsidRPr="008F7C16" w:rsidTr="00297CEF">
        <w:trPr>
          <w:trHeight w:val="608"/>
        </w:trPr>
        <w:tc>
          <w:tcPr>
            <w:tcW w:w="2840" w:type="dxa"/>
            <w:noWrap/>
            <w:vAlign w:val="bottom"/>
          </w:tcPr>
          <w:p w:rsidR="00013C53" w:rsidRPr="008F7C16" w:rsidRDefault="00013C53" w:rsidP="00297CEF">
            <w:pPr>
              <w:rPr>
                <w:b/>
                <w:bCs/>
                <w:sz w:val="28"/>
                <w:szCs w:val="28"/>
              </w:rPr>
            </w:pPr>
            <w:r w:rsidRPr="008F7C16">
              <w:rPr>
                <w:b/>
                <w:bCs/>
                <w:sz w:val="28"/>
                <w:szCs w:val="28"/>
                <w:lang w:val="uk-UA" w:eastAsia="uk-UA" w:bidi="mr-IN"/>
              </w:rPr>
              <w:t>Разом</w:t>
            </w:r>
          </w:p>
        </w:tc>
        <w:tc>
          <w:tcPr>
            <w:tcW w:w="1701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b/>
                <w:bCs/>
                <w:sz w:val="28"/>
                <w:szCs w:val="28"/>
              </w:rPr>
            </w:pPr>
            <w:r w:rsidRPr="008F7C16">
              <w:rPr>
                <w:b/>
                <w:bCs/>
                <w:sz w:val="28"/>
                <w:szCs w:val="28"/>
                <w:lang w:val="uk-UA" w:eastAsia="uk-UA" w:bidi="mr-IN"/>
              </w:rPr>
              <w:t>4 534 703,55</w:t>
            </w:r>
          </w:p>
        </w:tc>
        <w:tc>
          <w:tcPr>
            <w:tcW w:w="1984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b/>
                <w:bCs/>
                <w:sz w:val="28"/>
                <w:szCs w:val="28"/>
              </w:rPr>
            </w:pPr>
            <w:r w:rsidRPr="008F7C16">
              <w:rPr>
                <w:b/>
                <w:bCs/>
                <w:sz w:val="28"/>
                <w:szCs w:val="28"/>
              </w:rPr>
              <w:t>36 892 561,96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b/>
                <w:bCs/>
                <w:sz w:val="28"/>
                <w:szCs w:val="28"/>
              </w:rPr>
            </w:pPr>
            <w:r w:rsidRPr="008F7C16">
              <w:rPr>
                <w:b/>
                <w:bCs/>
                <w:sz w:val="28"/>
                <w:szCs w:val="28"/>
              </w:rPr>
              <w:t>39 555 670,38</w:t>
            </w:r>
          </w:p>
        </w:tc>
        <w:tc>
          <w:tcPr>
            <w:tcW w:w="1843" w:type="dxa"/>
            <w:noWrap/>
            <w:vAlign w:val="bottom"/>
          </w:tcPr>
          <w:p w:rsidR="00013C53" w:rsidRPr="008F7C16" w:rsidRDefault="00013C53" w:rsidP="00297CEF">
            <w:pPr>
              <w:jc w:val="center"/>
              <w:rPr>
                <w:b/>
                <w:bCs/>
                <w:sz w:val="28"/>
                <w:szCs w:val="28"/>
              </w:rPr>
            </w:pPr>
            <w:r w:rsidRPr="008F7C16">
              <w:rPr>
                <w:b/>
                <w:bCs/>
                <w:sz w:val="28"/>
                <w:szCs w:val="28"/>
              </w:rPr>
              <w:t>1 871 595,13</w:t>
            </w:r>
          </w:p>
        </w:tc>
      </w:tr>
    </w:tbl>
    <w:p w:rsidR="00013C53" w:rsidRPr="008F7C16" w:rsidRDefault="00013C53" w:rsidP="00992642">
      <w:pPr>
        <w:jc w:val="both"/>
        <w:rPr>
          <w:b/>
          <w:sz w:val="28"/>
          <w:szCs w:val="28"/>
          <w:lang w:val="uk-UA"/>
        </w:rPr>
      </w:pPr>
      <w:r w:rsidRPr="008F7C16">
        <w:rPr>
          <w:b/>
          <w:sz w:val="28"/>
          <w:szCs w:val="28"/>
          <w:lang w:val="uk-UA"/>
        </w:rPr>
        <w:t>Всього надходження коштів за 9 місяців 2022 року складають 36 892 561,96 грн.</w:t>
      </w:r>
    </w:p>
    <w:p w:rsidR="00013C53" w:rsidRPr="008F7C16" w:rsidRDefault="00013C53" w:rsidP="00992642">
      <w:pPr>
        <w:pStyle w:val="ListParagraph"/>
        <w:ind w:left="0"/>
        <w:jc w:val="center"/>
        <w:rPr>
          <w:b/>
          <w:bCs/>
          <w:sz w:val="28"/>
          <w:szCs w:val="28"/>
          <w:u w:val="single"/>
          <w:lang w:val="uk-UA"/>
        </w:rPr>
      </w:pPr>
      <w:r w:rsidRPr="008F7C16">
        <w:rPr>
          <w:b/>
          <w:bCs/>
          <w:sz w:val="28"/>
          <w:szCs w:val="28"/>
          <w:u w:val="single"/>
          <w:lang w:val="uk-UA"/>
        </w:rPr>
        <w:t>Використання коштів за 9 місяців за найменуваннями та джерелами фінансування</w:t>
      </w:r>
    </w:p>
    <w:tbl>
      <w:tblPr>
        <w:tblW w:w="10561" w:type="dxa"/>
        <w:tblInd w:w="87" w:type="dxa"/>
        <w:tblLayout w:type="fixed"/>
        <w:tblLook w:val="00A0"/>
      </w:tblPr>
      <w:tblGrid>
        <w:gridCol w:w="2998"/>
        <w:gridCol w:w="636"/>
        <w:gridCol w:w="1632"/>
        <w:gridCol w:w="1652"/>
        <w:gridCol w:w="900"/>
        <w:gridCol w:w="1302"/>
        <w:gridCol w:w="1441"/>
      </w:tblGrid>
      <w:tr w:rsidR="00013C53" w:rsidRPr="008F7C16" w:rsidTr="00D528D4">
        <w:trPr>
          <w:trHeight w:val="112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НСЗУ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53" w:rsidRPr="008F7C16" w:rsidRDefault="00013C53" w:rsidP="0093749A">
            <w:pPr>
              <w:jc w:val="center"/>
              <w:rPr>
                <w:bCs/>
              </w:rPr>
            </w:pPr>
            <w:r w:rsidRPr="008F7C16">
              <w:rPr>
                <w:bCs/>
                <w:sz w:val="22"/>
                <w:szCs w:val="22"/>
              </w:rPr>
              <w:t>% НСЗУ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Плата за послуги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 xml:space="preserve">Міцевий бюджет 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Заробітна плата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67,7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26 769 054,36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26 769 054,36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72,8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Нарахування на оплату праці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14,3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5 661 249,36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5 661 249,36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15,4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Соціальне забезпечення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45 087,66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45 087,66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Лікарські засоби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1 104 400,60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1 104 400,60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3,0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Вироби медичного призначення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422 224,47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397 611,47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1,1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24 613,00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Дезинфекційні засоби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34 345,00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34 345,00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Засоби індивідуального захисту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193 823,60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193 823,60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Продукти харчування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369 837,04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369 837,04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1,0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Предмети, матеріали та інвентар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430 331,39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404 034,13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1,1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26 297,26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Запасні частини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2 360,00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2 360,00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Будівельні матеріали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3 391,00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3 391,00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Паливно-мастильні матеріали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153 264,00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153 264,00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Оплата комунальних послуг та інших  енергоносіїв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6,4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2 525 707,16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358 982,22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2 166 724,94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Ремонт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255 352,85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255 352,85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Інші операційні витрати (оплата послуг)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589 090,61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563 815,61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1,5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25 275,00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Поповнення електронного рахунку для сплати ПДВ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132 700,00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132 700,00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Видатки на відрядження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2 373,04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2 373,04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r w:rsidRPr="008F7C16">
              <w:rPr>
                <w:sz w:val="22"/>
                <w:szCs w:val="22"/>
              </w:rPr>
              <w:t>Інші видатки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20 624,10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20 624,10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Основні засоби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1,6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621 413,00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621 413,00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1,7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Інші необоротні матеріальні активи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219 041,14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197 480,14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21 561,00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Будівельні роботи та поточний ремонт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</w:pPr>
            <w:r w:rsidRPr="008F7C16"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3C53" w:rsidRPr="008F7C16" w:rsidTr="00D528D4">
        <w:trPr>
          <w:trHeight w:val="3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39 555 670,38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36 776 532,86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C53" w:rsidRPr="008F7C16" w:rsidRDefault="00013C53" w:rsidP="0093749A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612 412,58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C53" w:rsidRPr="008F7C16" w:rsidRDefault="00013C53" w:rsidP="0048140C">
            <w:pPr>
              <w:jc w:val="center"/>
              <w:rPr>
                <w:b/>
                <w:bCs/>
              </w:rPr>
            </w:pPr>
            <w:r w:rsidRPr="008F7C16">
              <w:rPr>
                <w:b/>
                <w:bCs/>
                <w:sz w:val="22"/>
                <w:szCs w:val="22"/>
              </w:rPr>
              <w:t>2166724,94</w:t>
            </w:r>
          </w:p>
        </w:tc>
      </w:tr>
    </w:tbl>
    <w:p w:rsidR="00013C53" w:rsidRPr="008F7C16" w:rsidRDefault="00013C53" w:rsidP="00992642">
      <w:pPr>
        <w:spacing w:after="158"/>
        <w:rPr>
          <w:b/>
          <w:bCs/>
          <w:sz w:val="26"/>
          <w:szCs w:val="26"/>
          <w:lang w:val="uk-UA" w:eastAsia="uk-UA" w:bidi="mr-IN"/>
        </w:rPr>
      </w:pPr>
      <w:r w:rsidRPr="008F7C16">
        <w:rPr>
          <w:b/>
          <w:sz w:val="28"/>
          <w:szCs w:val="28"/>
          <w:lang w:val="uk-UA"/>
        </w:rPr>
        <w:t>Всього використання коштів підприємства за 9 місяців 2022 року 36 776 532,86 грн.</w:t>
      </w:r>
      <w:r w:rsidRPr="008F7C16">
        <w:rPr>
          <w:b/>
          <w:bCs/>
          <w:sz w:val="26"/>
          <w:szCs w:val="26"/>
          <w:lang w:val="uk-UA" w:eastAsia="uk-UA" w:bidi="mr-IN"/>
        </w:rPr>
        <w:t xml:space="preserve"> </w:t>
      </w:r>
    </w:p>
    <w:p w:rsidR="00013C53" w:rsidRPr="008F7C16" w:rsidRDefault="00013C53" w:rsidP="00992642">
      <w:pPr>
        <w:spacing w:after="158"/>
        <w:rPr>
          <w:b/>
          <w:bCs/>
          <w:sz w:val="28"/>
          <w:szCs w:val="28"/>
          <w:lang w:eastAsia="uk-UA" w:bidi="mr-IN"/>
        </w:rPr>
      </w:pPr>
      <w:r w:rsidRPr="008F7C16">
        <w:rPr>
          <w:b/>
          <w:bCs/>
          <w:sz w:val="28"/>
          <w:szCs w:val="28"/>
          <w:lang w:val="uk-UA" w:eastAsia="uk-UA" w:bidi="mr-IN"/>
        </w:rPr>
        <w:t xml:space="preserve">Середньомісячна заробітна плата штатного працівника по закладу – 14 823 грн: </w:t>
      </w:r>
    </w:p>
    <w:p w:rsidR="00013C53" w:rsidRPr="008F7C16" w:rsidRDefault="00013C53" w:rsidP="009926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sz w:val="28"/>
          <w:szCs w:val="28"/>
          <w:lang w:val="uk-UA" w:eastAsia="uk-UA" w:bidi="mr-IN"/>
        </w:rPr>
      </w:pPr>
      <w:r w:rsidRPr="008F7C16">
        <w:rPr>
          <w:sz w:val="28"/>
          <w:szCs w:val="28"/>
          <w:lang w:val="uk-UA" w:eastAsia="uk-UA" w:bidi="mr-IN"/>
        </w:rPr>
        <w:t>керівники – 24 062</w:t>
      </w:r>
    </w:p>
    <w:p w:rsidR="00013C53" w:rsidRPr="008F7C16" w:rsidRDefault="00013C53" w:rsidP="009926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sz w:val="28"/>
          <w:szCs w:val="28"/>
          <w:lang w:val="uk-UA" w:eastAsia="uk-UA" w:bidi="mr-IN"/>
        </w:rPr>
      </w:pPr>
      <w:r w:rsidRPr="008F7C16">
        <w:rPr>
          <w:sz w:val="28"/>
          <w:szCs w:val="28"/>
          <w:lang w:val="uk-UA" w:eastAsia="uk-UA" w:bidi="mr-IN"/>
        </w:rPr>
        <w:t>керівники структурних підрозділів – 16 322</w:t>
      </w:r>
    </w:p>
    <w:p w:rsidR="00013C53" w:rsidRPr="008F7C16" w:rsidRDefault="00013C53" w:rsidP="009926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sz w:val="28"/>
          <w:szCs w:val="28"/>
          <w:lang w:val="uk-UA" w:eastAsia="uk-UA" w:bidi="mr-IN"/>
        </w:rPr>
      </w:pPr>
      <w:r w:rsidRPr="008F7C16">
        <w:rPr>
          <w:sz w:val="28"/>
          <w:szCs w:val="28"/>
          <w:lang w:val="uk-UA" w:eastAsia="uk-UA" w:bidi="mr-IN"/>
        </w:rPr>
        <w:t>лікарі – 21 501</w:t>
      </w:r>
    </w:p>
    <w:p w:rsidR="00013C53" w:rsidRPr="008F7C16" w:rsidRDefault="00013C53" w:rsidP="009926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sz w:val="28"/>
          <w:szCs w:val="28"/>
          <w:lang w:val="uk-UA" w:eastAsia="uk-UA" w:bidi="mr-IN"/>
        </w:rPr>
      </w:pPr>
      <w:r w:rsidRPr="008F7C16">
        <w:rPr>
          <w:sz w:val="28"/>
          <w:szCs w:val="28"/>
          <w:lang w:val="uk-UA" w:eastAsia="uk-UA" w:bidi="mr-IN"/>
        </w:rPr>
        <w:t>середній медичний персонал – 13 583</w:t>
      </w:r>
    </w:p>
    <w:p w:rsidR="00013C53" w:rsidRPr="008F7C16" w:rsidRDefault="00013C53" w:rsidP="009926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sz w:val="28"/>
          <w:szCs w:val="28"/>
          <w:lang w:val="uk-UA" w:eastAsia="uk-UA" w:bidi="mr-IN"/>
        </w:rPr>
      </w:pPr>
      <w:r w:rsidRPr="008F7C16">
        <w:rPr>
          <w:sz w:val="28"/>
          <w:szCs w:val="28"/>
          <w:lang w:val="uk-UA" w:eastAsia="uk-UA" w:bidi="mr-IN"/>
        </w:rPr>
        <w:t>молодший медичний персонал – 7 339</w:t>
      </w:r>
    </w:p>
    <w:p w:rsidR="00013C53" w:rsidRPr="008F7C16" w:rsidRDefault="00013C53" w:rsidP="009926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sz w:val="28"/>
          <w:szCs w:val="28"/>
          <w:lang w:val="uk-UA" w:eastAsia="uk-UA" w:bidi="mr-IN"/>
        </w:rPr>
      </w:pPr>
      <w:r w:rsidRPr="008F7C16">
        <w:rPr>
          <w:sz w:val="28"/>
          <w:szCs w:val="28"/>
          <w:lang w:val="uk-UA" w:eastAsia="uk-UA" w:bidi="mr-IN"/>
        </w:rPr>
        <w:t>інші працівники – 8751</w:t>
      </w:r>
    </w:p>
    <w:p w:rsidR="00013C53" w:rsidRPr="008F7C16" w:rsidRDefault="00013C53" w:rsidP="008B3850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sz w:val="28"/>
          <w:szCs w:val="28"/>
          <w:lang w:eastAsia="uk-UA" w:bidi="mr-IN"/>
        </w:rPr>
      </w:pPr>
      <w:r w:rsidRPr="008F7C16">
        <w:rPr>
          <w:b/>
          <w:sz w:val="28"/>
          <w:szCs w:val="28"/>
          <w:lang w:eastAsia="uk-UA" w:bidi="mr-IN"/>
        </w:rPr>
        <w:t>Доходи та витрати за 9 місяців 2022 року</w:t>
      </w:r>
    </w:p>
    <w:tbl>
      <w:tblPr>
        <w:tblW w:w="1020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6"/>
        <w:gridCol w:w="1398"/>
        <w:gridCol w:w="1133"/>
      </w:tblGrid>
      <w:tr w:rsidR="00013C53" w:rsidRPr="008F7C16" w:rsidTr="00D528D4">
        <w:trPr>
          <w:trHeight w:val="6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Показники</w:t>
            </w:r>
          </w:p>
        </w:tc>
        <w:tc>
          <w:tcPr>
            <w:tcW w:w="1398" w:type="dxa"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тис. грн.</w:t>
            </w:r>
          </w:p>
        </w:tc>
        <w:tc>
          <w:tcPr>
            <w:tcW w:w="1133" w:type="dxa"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%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vAlign w:val="center"/>
          </w:tcPr>
          <w:p w:rsidR="00013C53" w:rsidRPr="008F7C16" w:rsidRDefault="00013C53" w:rsidP="00D528D4">
            <w:pPr>
              <w:rPr>
                <w:b/>
                <w:sz w:val="26"/>
                <w:szCs w:val="26"/>
              </w:rPr>
            </w:pPr>
            <w:r w:rsidRPr="008F7C16">
              <w:rPr>
                <w:b/>
                <w:sz w:val="26"/>
                <w:szCs w:val="26"/>
              </w:rPr>
              <w:t xml:space="preserve">Загальний дохід 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b/>
                <w:sz w:val="28"/>
                <w:szCs w:val="28"/>
              </w:rPr>
            </w:pPr>
            <w:r w:rsidRPr="008F7C16">
              <w:rPr>
                <w:b/>
                <w:sz w:val="28"/>
                <w:szCs w:val="28"/>
              </w:rPr>
              <w:t>39 756,4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b/>
                <w:iCs/>
                <w:sz w:val="28"/>
                <w:szCs w:val="28"/>
              </w:rPr>
            </w:pPr>
            <w:r w:rsidRPr="008F7C16">
              <w:rPr>
                <w:b/>
                <w:iCs/>
                <w:sz w:val="28"/>
                <w:szCs w:val="28"/>
              </w:rPr>
              <w:t>100,0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 xml:space="preserve">Дохід від реалізаціі товарів, готової продукції, робіт та послуг  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35 233,3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88,6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ind w:firstLineChars="200" w:firstLine="520"/>
              <w:rPr>
                <w:iCs/>
                <w:sz w:val="26"/>
                <w:szCs w:val="26"/>
              </w:rPr>
            </w:pPr>
            <w:r w:rsidRPr="008F7C16">
              <w:rPr>
                <w:iCs/>
                <w:sz w:val="26"/>
                <w:szCs w:val="26"/>
              </w:rPr>
              <w:t xml:space="preserve"> дохід за рахунок надання платних послуг 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341,7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0,9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ind w:firstLineChars="200" w:firstLine="520"/>
              <w:rPr>
                <w:iCs/>
                <w:sz w:val="26"/>
                <w:szCs w:val="26"/>
              </w:rPr>
            </w:pPr>
            <w:r w:rsidRPr="008F7C16">
              <w:rPr>
                <w:iCs/>
                <w:sz w:val="26"/>
                <w:szCs w:val="26"/>
              </w:rPr>
              <w:t xml:space="preserve">дохід ПМГ 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34 891,6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87,8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>Інший операційний дохід, у тому числі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3 681,5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9,3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ind w:firstLineChars="300" w:firstLine="780"/>
              <w:rPr>
                <w:iCs/>
                <w:sz w:val="26"/>
                <w:szCs w:val="26"/>
              </w:rPr>
            </w:pPr>
            <w:r w:rsidRPr="008F7C16">
              <w:rPr>
                <w:iCs/>
                <w:sz w:val="26"/>
                <w:szCs w:val="26"/>
              </w:rPr>
              <w:t>цільовий інший операційний дохід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3 260,0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8,2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vAlign w:val="center"/>
          </w:tcPr>
          <w:p w:rsidR="00013C53" w:rsidRPr="008F7C16" w:rsidRDefault="00013C53" w:rsidP="00D528D4">
            <w:pPr>
              <w:ind w:firstLineChars="300" w:firstLine="780"/>
              <w:rPr>
                <w:iCs/>
                <w:sz w:val="26"/>
                <w:szCs w:val="26"/>
              </w:rPr>
            </w:pPr>
            <w:r w:rsidRPr="008F7C16">
              <w:rPr>
                <w:iCs/>
                <w:sz w:val="26"/>
                <w:szCs w:val="26"/>
              </w:rPr>
              <w:t>дохід від оренди, від компенсаціій за комунальні платежі від орендаря, інше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421,5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1,1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ind w:firstLineChars="300" w:firstLine="780"/>
              <w:rPr>
                <w:iCs/>
                <w:sz w:val="26"/>
                <w:szCs w:val="26"/>
              </w:rPr>
            </w:pPr>
            <w:r w:rsidRPr="008F7C16">
              <w:rPr>
                <w:iCs/>
                <w:sz w:val="26"/>
                <w:szCs w:val="26"/>
              </w:rPr>
              <w:t>дохід  для покриття витрат (збитків) за рахунок бюджету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0,0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>Неопераційний дохід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841,6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2,1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ind w:firstLineChars="200" w:firstLine="520"/>
              <w:rPr>
                <w:iCs/>
                <w:sz w:val="26"/>
                <w:szCs w:val="26"/>
              </w:rPr>
            </w:pPr>
            <w:r w:rsidRPr="008F7C16">
              <w:rPr>
                <w:iCs/>
                <w:sz w:val="26"/>
                <w:szCs w:val="26"/>
              </w:rPr>
              <w:t>у тому числі від амортизації по НА та ОЗ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838,5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2,1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ind w:firstLineChars="200" w:firstLine="520"/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 xml:space="preserve">Коригування прибутку по дооцінці 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0,0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b/>
                <w:sz w:val="26"/>
                <w:szCs w:val="26"/>
              </w:rPr>
            </w:pPr>
            <w:r w:rsidRPr="008F7C16">
              <w:rPr>
                <w:b/>
                <w:sz w:val="26"/>
                <w:szCs w:val="26"/>
              </w:rPr>
              <w:t>Витрати періоду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b/>
                <w:sz w:val="28"/>
                <w:szCs w:val="28"/>
              </w:rPr>
            </w:pPr>
            <w:r w:rsidRPr="008F7C16">
              <w:rPr>
                <w:b/>
                <w:sz w:val="28"/>
                <w:szCs w:val="28"/>
              </w:rPr>
              <w:t>41 095,9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b/>
                <w:iCs/>
                <w:sz w:val="28"/>
                <w:szCs w:val="28"/>
              </w:rPr>
            </w:pPr>
            <w:r w:rsidRPr="008F7C16">
              <w:rPr>
                <w:b/>
                <w:iCs/>
                <w:sz w:val="28"/>
                <w:szCs w:val="28"/>
              </w:rPr>
              <w:t>103,4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>Матеріальні витрати 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6 424,3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16,2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>Витрати на оплату праці 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26 769,1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67,3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>Відрахування на соціальні заходи 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5 661,2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14,2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>Соціальне забезпечення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45,1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0,1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>Амортизація 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1 622,7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4,1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noWrap/>
            <w:vAlign w:val="center"/>
          </w:tcPr>
          <w:p w:rsidR="00013C53" w:rsidRPr="008F7C16" w:rsidRDefault="00013C53" w:rsidP="00D528D4">
            <w:pPr>
              <w:rPr>
                <w:sz w:val="26"/>
                <w:szCs w:val="26"/>
              </w:rPr>
            </w:pPr>
            <w:r w:rsidRPr="008F7C16">
              <w:rPr>
                <w:sz w:val="26"/>
                <w:szCs w:val="26"/>
              </w:rPr>
              <w:t>Інші операційні витрати 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sz w:val="28"/>
                <w:szCs w:val="28"/>
              </w:rPr>
            </w:pPr>
            <w:r w:rsidRPr="008F7C16">
              <w:rPr>
                <w:sz w:val="28"/>
                <w:szCs w:val="28"/>
              </w:rPr>
              <w:t>573,5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iCs/>
                <w:sz w:val="28"/>
                <w:szCs w:val="28"/>
              </w:rPr>
            </w:pPr>
            <w:r w:rsidRPr="008F7C16">
              <w:rPr>
                <w:iCs/>
                <w:sz w:val="28"/>
                <w:szCs w:val="28"/>
              </w:rPr>
              <w:t>1,4</w:t>
            </w:r>
          </w:p>
        </w:tc>
      </w:tr>
      <w:tr w:rsidR="00013C53" w:rsidRPr="008F7C16" w:rsidTr="00D528D4">
        <w:trPr>
          <w:trHeight w:val="300"/>
        </w:trPr>
        <w:tc>
          <w:tcPr>
            <w:tcW w:w="7676" w:type="dxa"/>
            <w:vAlign w:val="center"/>
          </w:tcPr>
          <w:p w:rsidR="00013C53" w:rsidRPr="008F7C16" w:rsidRDefault="00013C53" w:rsidP="00D528D4">
            <w:pPr>
              <w:rPr>
                <w:b/>
                <w:sz w:val="26"/>
                <w:szCs w:val="26"/>
              </w:rPr>
            </w:pPr>
            <w:r w:rsidRPr="008F7C16">
              <w:rPr>
                <w:b/>
                <w:sz w:val="26"/>
                <w:szCs w:val="26"/>
              </w:rPr>
              <w:t>Результат (різниця між загальним  доходом та витратами періоду)</w:t>
            </w:r>
          </w:p>
        </w:tc>
        <w:tc>
          <w:tcPr>
            <w:tcW w:w="1398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b/>
                <w:sz w:val="28"/>
                <w:szCs w:val="28"/>
              </w:rPr>
            </w:pPr>
            <w:r w:rsidRPr="008F7C16">
              <w:rPr>
                <w:b/>
                <w:sz w:val="28"/>
                <w:szCs w:val="28"/>
              </w:rPr>
              <w:t>-1 339,5</w:t>
            </w:r>
          </w:p>
        </w:tc>
        <w:tc>
          <w:tcPr>
            <w:tcW w:w="1133" w:type="dxa"/>
            <w:noWrap/>
            <w:vAlign w:val="center"/>
          </w:tcPr>
          <w:p w:rsidR="00013C53" w:rsidRPr="008F7C16" w:rsidRDefault="00013C53" w:rsidP="00D528D4">
            <w:pPr>
              <w:jc w:val="center"/>
              <w:rPr>
                <w:b/>
                <w:iCs/>
                <w:sz w:val="28"/>
                <w:szCs w:val="28"/>
              </w:rPr>
            </w:pPr>
            <w:r w:rsidRPr="008F7C16">
              <w:rPr>
                <w:b/>
                <w:iCs/>
                <w:sz w:val="28"/>
                <w:szCs w:val="28"/>
              </w:rPr>
              <w:t>-3,4</w:t>
            </w:r>
          </w:p>
        </w:tc>
      </w:tr>
    </w:tbl>
    <w:p w:rsidR="00013C53" w:rsidRDefault="00013C53" w:rsidP="00992642">
      <w:pPr>
        <w:ind w:right="-141"/>
        <w:jc w:val="center"/>
        <w:rPr>
          <w:b/>
          <w:bCs/>
          <w:sz w:val="28"/>
          <w:szCs w:val="28"/>
          <w:lang w:val="uk-UA"/>
        </w:rPr>
      </w:pPr>
    </w:p>
    <w:p w:rsidR="00013C53" w:rsidRPr="008F7C16" w:rsidRDefault="00013C53" w:rsidP="00992642">
      <w:pPr>
        <w:ind w:right="-141"/>
        <w:jc w:val="center"/>
        <w:rPr>
          <w:b/>
          <w:bCs/>
          <w:sz w:val="28"/>
          <w:szCs w:val="28"/>
          <w:lang w:val="uk-UA"/>
        </w:rPr>
      </w:pPr>
      <w:r w:rsidRPr="008F7C16">
        <w:rPr>
          <w:b/>
          <w:bCs/>
          <w:sz w:val="28"/>
          <w:szCs w:val="28"/>
          <w:lang w:val="uk-UA"/>
        </w:rPr>
        <w:t>Придбання основних засобів , ІНМА та проведення поточних ремонтів                                за 9 місяців 2022 року</w:t>
      </w:r>
    </w:p>
    <w:tbl>
      <w:tblPr>
        <w:tblW w:w="104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0"/>
        <w:gridCol w:w="1900"/>
      </w:tblGrid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F72751">
              <w:rPr>
                <w:b/>
                <w:bCs/>
                <w:sz w:val="28"/>
                <w:szCs w:val="28"/>
              </w:rPr>
              <w:t>Основні засоби (НСЗУ)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B82B85">
            <w:pPr>
              <w:jc w:val="center"/>
              <w:rPr>
                <w:b/>
                <w:bCs/>
                <w:sz w:val="28"/>
                <w:szCs w:val="28"/>
              </w:rPr>
            </w:pPr>
            <w:r w:rsidRPr="00F72751">
              <w:rPr>
                <w:b/>
                <w:bCs/>
                <w:sz w:val="28"/>
                <w:szCs w:val="28"/>
              </w:rPr>
              <w:t>621413,0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C90FB0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Лазер хірургічний діодний Lika-surgeon+10ВТ 1940нм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323423,0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C90FB0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Інфільтраційна помпа DP30, з педаллю Vario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59990,0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C90FB0">
            <w:pPr>
              <w:rPr>
                <w:sz w:val="28"/>
                <w:szCs w:val="28"/>
              </w:rPr>
            </w:pPr>
            <w:hyperlink r:id="rId6" w:history="1">
              <w:r w:rsidRPr="00F72751">
                <w:rPr>
                  <w:sz w:val="28"/>
                  <w:szCs w:val="28"/>
                </w:rPr>
                <w:t>Автоматичний Рефрактор Кератометр URK-700A </w:t>
              </w:r>
            </w:hyperlink>
            <w:r w:rsidRPr="00F72751">
              <w:rPr>
                <w:sz w:val="28"/>
                <w:szCs w:val="28"/>
              </w:rPr>
              <w:t>(офтальмологічне обладнання)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189300,0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C90FB0">
            <w:pPr>
              <w:rPr>
                <w:sz w:val="28"/>
                <w:szCs w:val="28"/>
              </w:rPr>
            </w:pPr>
            <w:hyperlink r:id="rId7" w:history="1">
              <w:r w:rsidRPr="00F72751">
                <w:rPr>
                  <w:sz w:val="28"/>
                  <w:szCs w:val="28"/>
                </w:rPr>
                <w:t>Лампа щілинна ЩЛ-2Б</w:t>
              </w:r>
            </w:hyperlink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48700,0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jc w:val="center"/>
              <w:rPr>
                <w:b/>
                <w:bCs/>
                <w:sz w:val="28"/>
                <w:szCs w:val="28"/>
              </w:rPr>
            </w:pPr>
            <w:r w:rsidRPr="00F72751">
              <w:rPr>
                <w:b/>
                <w:bCs/>
                <w:sz w:val="28"/>
                <w:szCs w:val="28"/>
              </w:rPr>
              <w:t>Інші необоротні матеріальні активи ( НСЗУ)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18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2751">
              <w:rPr>
                <w:b/>
                <w:bCs/>
                <w:sz w:val="28"/>
                <w:szCs w:val="28"/>
              </w:rPr>
              <w:t>197480,14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Балон в\т 40л вуглекисл.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7800,0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Вироби домашнього текстилю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29550,0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 xml:space="preserve">Бойлер "Атлантік"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F72751">
                <w:rPr>
                  <w:sz w:val="28"/>
                  <w:szCs w:val="28"/>
                </w:rPr>
                <w:t>50 л</w:t>
              </w:r>
            </w:smartTag>
            <w:r w:rsidRPr="00F7275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3150,0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9A2587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Сковорідки чугунні 26см - 2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860,0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 xml:space="preserve">Тонометр механічний Teta  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2550,02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Кісткотримач великий, 280мм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1900,0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 xml:space="preserve">Кісткові щипці,вигнуті, малі Wuhu kaimao  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1650,0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Кісткові щипці,вигнуті, великі Wuhu kaimao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1850,0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Перфератор МРТ 800 W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2400,0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vAlign w:val="center"/>
          </w:tcPr>
          <w:p w:rsidR="00013C53" w:rsidRPr="00F72751" w:rsidRDefault="00013C53" w:rsidP="00B46152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Бензиновий тример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4850,0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Світильник оглядовий VioLight-2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14700,0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Холодильники "Атлант"МХМ-2835.55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23998,0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Морозильна камера GCFW-300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8899,0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  <w:lang w:val="en-US"/>
              </w:rPr>
            </w:pPr>
            <w:r w:rsidRPr="00F72751">
              <w:rPr>
                <w:sz w:val="28"/>
                <w:szCs w:val="28"/>
              </w:rPr>
              <w:t>Бойлер</w:t>
            </w:r>
            <w:r w:rsidRPr="00F72751">
              <w:rPr>
                <w:sz w:val="28"/>
                <w:szCs w:val="28"/>
                <w:lang w:val="en-US"/>
              </w:rPr>
              <w:t xml:space="preserve"> Novatec Standare NS-S 50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3558,0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  <w:lang w:val="en-US"/>
              </w:rPr>
            </w:pPr>
            <w:r w:rsidRPr="00F72751">
              <w:rPr>
                <w:sz w:val="28"/>
                <w:szCs w:val="28"/>
              </w:rPr>
              <w:t>Пральна машина GorenjeW1NEI 72 SBS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11899,0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  <w:lang w:val="en-US"/>
              </w:rPr>
            </w:pPr>
            <w:r w:rsidRPr="00F72751">
              <w:rPr>
                <w:sz w:val="28"/>
                <w:szCs w:val="28"/>
              </w:rPr>
              <w:t>Принтер HP LaserJet P2015dn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2250,0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  <w:lang w:val="en-US"/>
              </w:rPr>
            </w:pPr>
            <w:r w:rsidRPr="00F72751">
              <w:rPr>
                <w:sz w:val="28"/>
                <w:szCs w:val="28"/>
              </w:rPr>
              <w:t>Кущоріз електричний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2850,0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  <w:lang w:val="en-US"/>
              </w:rPr>
            </w:pPr>
            <w:r w:rsidRPr="00F72751">
              <w:rPr>
                <w:sz w:val="28"/>
                <w:szCs w:val="28"/>
              </w:rPr>
              <w:t>Жалюзi вертикальні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4289,04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Універсальна пробна оправа, з градусною шкалою по системі САБО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7350,0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Персональний комп'ютер Intel Core i3-10105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12750,0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Морозильна скриня GCFW-300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9399,0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Монітор Philips 271V8LA/00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6700,0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hyperlink r:id="rId8" w:history="1">
              <w:r w:rsidRPr="00F72751">
                <w:rPr>
                  <w:sz w:val="28"/>
                  <w:szCs w:val="28"/>
                </w:rPr>
                <w:t>Світловодний інструмент для лазерної хірургії LGO-Innity Side Fiber, Світловодний інструмент для лазерної хірургії LGO-Saturn Side Fiber</w:t>
              </w:r>
            </w:hyperlink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14296,0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hyperlink r:id="rId9" w:history="1">
              <w:r w:rsidRPr="00F72751">
                <w:rPr>
                  <w:sz w:val="28"/>
                  <w:szCs w:val="28"/>
                </w:rPr>
                <w:t>Секція огорожа 3Д вис.2м., довж.2,5м, розміром вічка 50*200мм, товщ. дроту 4+4 мм., оц.+зел.; стовп для огорожі вис.2,5м, розм.60*40мм.; кріплення прижимне оц.+фарба зелене</w:t>
              </w:r>
            </w:hyperlink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6392,0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1844A4">
            <w:pPr>
              <w:rPr>
                <w:sz w:val="28"/>
                <w:szCs w:val="28"/>
              </w:rPr>
            </w:pPr>
            <w:hyperlink r:id="rId10" w:history="1">
              <w:r w:rsidRPr="00F72751">
                <w:rPr>
                  <w:sz w:val="28"/>
                  <w:szCs w:val="28"/>
                </w:rPr>
                <w:t>Каструля нержавійка 16л., оцинкована15 л., 5 л.</w:t>
              </w:r>
            </w:hyperlink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4100,0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hyperlink r:id="rId11" w:history="1">
              <w:r w:rsidRPr="00F72751">
                <w:rPr>
                  <w:sz w:val="28"/>
                  <w:szCs w:val="28"/>
                </w:rPr>
                <w:t>Столик під лазер хірургічний діодний</w:t>
              </w:r>
            </w:hyperlink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5800,0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B46152">
            <w:pPr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Жалюзі горизонтальні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1690,08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8C2884">
            <w:pPr>
              <w:rPr>
                <w:sz w:val="28"/>
                <w:szCs w:val="28"/>
              </w:rPr>
            </w:pPr>
            <w:r w:rsidRPr="00F72751">
              <w:rPr>
                <w:b/>
                <w:bCs/>
                <w:sz w:val="28"/>
                <w:szCs w:val="28"/>
              </w:rPr>
              <w:t>Інші необоротні матеріальні активи ( власні )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/>
                <w:sz w:val="28"/>
                <w:szCs w:val="28"/>
              </w:rPr>
            </w:pPr>
            <w:r w:rsidRPr="00F72751">
              <w:rPr>
                <w:b/>
                <w:sz w:val="28"/>
                <w:szCs w:val="28"/>
              </w:rPr>
              <w:t>21561,0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8C2884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Персональний ком'ютер Intel Core i3-10105\DDR4 2*8GB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C90FB0">
            <w:pPr>
              <w:jc w:val="center"/>
              <w:rPr>
                <w:b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12400,0</w:t>
            </w:r>
          </w:p>
        </w:tc>
      </w:tr>
      <w:tr w:rsidR="00013C53" w:rsidRPr="00F72751" w:rsidTr="00C90FB0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73492F">
            <w:pPr>
              <w:rPr>
                <w:b/>
                <w:bCs/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Монітор  Samsung LS27R350FHIXCI  (5390.00 грн.) 1.000 шт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73492F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5390,0</w:t>
            </w:r>
          </w:p>
        </w:tc>
      </w:tr>
      <w:tr w:rsidR="00013C53" w:rsidRPr="00F72751" w:rsidTr="0073492F">
        <w:trPr>
          <w:trHeight w:val="390"/>
        </w:trPr>
        <w:tc>
          <w:tcPr>
            <w:tcW w:w="8510" w:type="dxa"/>
            <w:noWrap/>
            <w:vAlign w:val="bottom"/>
          </w:tcPr>
          <w:p w:rsidR="00013C53" w:rsidRPr="00F72751" w:rsidRDefault="00013C53" w:rsidP="0073492F">
            <w:pPr>
              <w:rPr>
                <w:bCs/>
                <w:sz w:val="28"/>
                <w:szCs w:val="28"/>
              </w:rPr>
            </w:pPr>
            <w:r w:rsidRPr="00F72751">
              <w:rPr>
                <w:bCs/>
                <w:sz w:val="28"/>
                <w:szCs w:val="28"/>
              </w:rPr>
              <w:t>Кухонне приладдя</w:t>
            </w:r>
          </w:p>
        </w:tc>
        <w:tc>
          <w:tcPr>
            <w:tcW w:w="1900" w:type="dxa"/>
            <w:noWrap/>
            <w:vAlign w:val="bottom"/>
          </w:tcPr>
          <w:p w:rsidR="00013C53" w:rsidRPr="00F72751" w:rsidRDefault="00013C53" w:rsidP="0073492F">
            <w:pPr>
              <w:jc w:val="center"/>
              <w:rPr>
                <w:sz w:val="28"/>
                <w:szCs w:val="28"/>
              </w:rPr>
            </w:pPr>
            <w:r w:rsidRPr="00F72751">
              <w:rPr>
                <w:sz w:val="28"/>
                <w:szCs w:val="28"/>
              </w:rPr>
              <w:t>3771,0</w:t>
            </w:r>
          </w:p>
        </w:tc>
      </w:tr>
    </w:tbl>
    <w:p w:rsidR="00013C53" w:rsidRPr="008F7C16" w:rsidRDefault="00013C53" w:rsidP="00230B33">
      <w:pPr>
        <w:ind w:firstLine="720"/>
        <w:jc w:val="both"/>
        <w:rPr>
          <w:sz w:val="28"/>
          <w:szCs w:val="28"/>
          <w:lang w:val="uk-UA"/>
        </w:rPr>
      </w:pPr>
    </w:p>
    <w:p w:rsidR="00013C53" w:rsidRPr="008F7C16" w:rsidRDefault="00013C53" w:rsidP="00230B33">
      <w:pPr>
        <w:ind w:firstLine="720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В штатному розписі станом на 01.11.2022 року зареєстровано всього             241,50 посад:  50,0 лікарських посад,  98,0 посад молодших спеціалістів з медичною освітою, молодших медичних сестер – 43 та 47 посад іншого персоналу.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ab/>
        <w:t>В КП «Рожищенська багатопрофільна лікарня»  працює  226 працівників (з них жінки - 180) (крім того 12 працівників перебувають у відпустці по догляду за дитиною, 11 – зовнішніх сумісників, 2 – увільнений від  роботи на час  проходження військової служби у Збройних Силах України), з яких:</w:t>
      </w:r>
    </w:p>
    <w:p w:rsidR="00013C53" w:rsidRPr="008F7C16" w:rsidRDefault="00013C53" w:rsidP="00230B33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 40 лікарів;</w:t>
      </w:r>
    </w:p>
    <w:p w:rsidR="00013C53" w:rsidRPr="008F7C16" w:rsidRDefault="00013C53" w:rsidP="00230B33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 97 молодших спеціалістів з медичною освітою;</w:t>
      </w:r>
    </w:p>
    <w:p w:rsidR="00013C53" w:rsidRPr="008F7C16" w:rsidRDefault="00013C53" w:rsidP="00230B33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 43 молодших медичних сестер;</w:t>
      </w:r>
    </w:p>
    <w:p w:rsidR="00013C53" w:rsidRPr="008F7C16" w:rsidRDefault="00013C53" w:rsidP="00230B33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 46 іншого персоналу</w:t>
      </w:r>
    </w:p>
    <w:p w:rsidR="00013C53" w:rsidRPr="008F7C16" w:rsidRDefault="00013C53" w:rsidP="0058019A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        Кількість працівників, прийняті на умовах неповного робочого дня – 3  (з них жінки – 2).</w:t>
      </w:r>
    </w:p>
    <w:p w:rsidR="00013C53" w:rsidRPr="008F7C16" w:rsidRDefault="00013C53" w:rsidP="00230B33">
      <w:pPr>
        <w:ind w:firstLine="70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Станом на 01.11.2022 року  атестовано 42 лікарі: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вищу кваліфікаційну категорію мають 18 лікарів 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першу   8 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другу  2 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лікарів-спеціалістів  14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          Серед молодших спеціалістів з медичною освітою  атестовано 94 особи: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вищу кваліфікаційну категорію мають 77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першу  15</w:t>
      </w:r>
    </w:p>
    <w:p w:rsidR="00013C53" w:rsidRPr="008F7C16" w:rsidRDefault="00013C53" w:rsidP="00230B33">
      <w:pPr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другу  2 </w:t>
      </w:r>
    </w:p>
    <w:p w:rsidR="00013C53" w:rsidRPr="008F7C16" w:rsidRDefault="00013C53" w:rsidP="00230B33">
      <w:pPr>
        <w:ind w:firstLine="70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Професійне навчання медичного та обслуговуючого персоналу ведеться згідно з навчальними планами, відповідно до Положення про систему    безперервного професійного розвитку  фахівців у сфері охорони здоров’я. </w:t>
      </w:r>
    </w:p>
    <w:p w:rsidR="00013C53" w:rsidRPr="008F7C16" w:rsidRDefault="00013C53" w:rsidP="00230B33">
      <w:pPr>
        <w:ind w:firstLine="70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Станом на 01.11.2022 року кількість  працюючих пенсіонерів дорівнює по лікарях 5 чоловік (12 %), по середньому медичному персоналу – 4 чоловіки (4 %), молодшому медичному персоналу – 1 чоловік (2 %),  інші – 10 чоловік (20 %).</w:t>
      </w:r>
    </w:p>
    <w:p w:rsidR="00013C53" w:rsidRPr="008F7C16" w:rsidRDefault="00013C53" w:rsidP="00230B33">
      <w:pPr>
        <w:ind w:firstLine="34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 xml:space="preserve">Працює 8 молодих спеціалістів, з них: 3 – лікарі-хірурги, 2 -  лікаря приймального відділення, 1 – лікар-акушер-гінеколог, 2 – лікаря-стоматологи. Лікарі-інтерни відсутні. </w:t>
      </w:r>
    </w:p>
    <w:p w:rsidR="00013C53" w:rsidRPr="008F7C16" w:rsidRDefault="00013C53" w:rsidP="00230B33">
      <w:pPr>
        <w:ind w:firstLine="34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Укомплектованість працівниками становить 99 %</w:t>
      </w:r>
    </w:p>
    <w:p w:rsidR="00013C53" w:rsidRPr="008F7C16" w:rsidRDefault="00013C53" w:rsidP="00230B33">
      <w:pPr>
        <w:ind w:firstLine="34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лікарями  84 %;</w:t>
      </w:r>
    </w:p>
    <w:p w:rsidR="00013C53" w:rsidRPr="008F7C16" w:rsidRDefault="00013C53" w:rsidP="00230B33">
      <w:pPr>
        <w:ind w:firstLine="34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молодшими спеціалістами з медичною освітою – 107 %,</w:t>
      </w:r>
    </w:p>
    <w:p w:rsidR="00013C53" w:rsidRPr="008F7C16" w:rsidRDefault="00013C53" w:rsidP="00230B33">
      <w:pPr>
        <w:ind w:firstLine="34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молодшими     медичними сестрами – 102 %;</w:t>
      </w:r>
    </w:p>
    <w:p w:rsidR="00013C53" w:rsidRPr="008F7C16" w:rsidRDefault="00013C53" w:rsidP="00230B33">
      <w:pPr>
        <w:ind w:firstLine="348"/>
        <w:jc w:val="both"/>
        <w:rPr>
          <w:sz w:val="28"/>
          <w:szCs w:val="28"/>
          <w:lang w:val="uk-UA"/>
        </w:rPr>
      </w:pPr>
      <w:r w:rsidRPr="008F7C16">
        <w:rPr>
          <w:sz w:val="28"/>
          <w:szCs w:val="28"/>
          <w:lang w:val="uk-UA"/>
        </w:rPr>
        <w:t>іншим персоналом – 99 %.</w:t>
      </w:r>
    </w:p>
    <w:p w:rsidR="00013C53" w:rsidRDefault="00013C53" w:rsidP="008F7C16">
      <w:pPr>
        <w:pStyle w:val="docdata"/>
        <w:spacing w:before="0" w:beforeAutospacing="0" w:after="0" w:afterAutospacing="0"/>
        <w:jc w:val="both"/>
      </w:pPr>
      <w:r w:rsidRPr="008F7C16">
        <w:rPr>
          <w:sz w:val="28"/>
          <w:szCs w:val="28"/>
        </w:rPr>
        <w:t>У консультативній поліклініці лікарсько-консультативна допомога</w:t>
      </w:r>
      <w:r>
        <w:rPr>
          <w:color w:val="000000"/>
          <w:sz w:val="28"/>
          <w:szCs w:val="28"/>
        </w:rPr>
        <w:t> надається  по 20 спеціальностях.</w:t>
      </w:r>
    </w:p>
    <w:p w:rsidR="00013C53" w:rsidRDefault="00013C53" w:rsidP="008F7C16">
      <w:pPr>
        <w:pStyle w:val="NormalWeb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</w:rPr>
        <w:t xml:space="preserve">Амбулаторний прийом за 9 місяців  2022 рік становить 41647 відвідувань. </w:t>
      </w:r>
    </w:p>
    <w:p w:rsidR="00013C53" w:rsidRDefault="00013C53" w:rsidP="008F7C16">
      <w:pPr>
        <w:pStyle w:val="NormalWeb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У консультаційній  поліклініці працює водійська комісія. Протягом  9 місяців 2022 року оглянуто 490 кандидатів у водії та водіїв транспортних засобів, визнано придатними 490 особи.</w:t>
      </w:r>
    </w:p>
    <w:p w:rsidR="00013C53" w:rsidRDefault="00013C53" w:rsidP="008F7C16">
      <w:pPr>
        <w:pStyle w:val="NormalWeb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Комісією на право користування зброєю за 9 місяців 2022 рік  обстежено  82  осіб. </w:t>
      </w:r>
    </w:p>
    <w:p w:rsidR="00013C53" w:rsidRDefault="00013C53" w:rsidP="008F7C16">
      <w:pPr>
        <w:pStyle w:val="NormalWeb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Кількість оперативних втручань в амбулаторних умовах  складає  630 операцій, що становить 164,2 на 10 тис. населення.</w:t>
      </w:r>
    </w:p>
    <w:p w:rsidR="00013C53" w:rsidRDefault="00013C53" w:rsidP="008F7C16">
      <w:pPr>
        <w:pStyle w:val="NormalWeb"/>
        <w:spacing w:before="0" w:beforeAutospacing="0" w:after="0" w:afterAutospacing="0"/>
        <w:ind w:right="14" w:firstLine="709"/>
        <w:jc w:val="both"/>
      </w:pPr>
      <w:r>
        <w:rPr>
          <w:color w:val="000000"/>
          <w:sz w:val="28"/>
          <w:szCs w:val="28"/>
        </w:rPr>
        <w:t>Стаціонарна медична допомога населенню надається на 145 стаціонарних  ліжках.  Забезпеченість стаціонарними ліжками за 9 місяців  2022 року становить 37,8 на І0 тис. населення.</w:t>
      </w:r>
    </w:p>
    <w:p w:rsidR="00013C53" w:rsidRDefault="00013C53" w:rsidP="008F7C16">
      <w:pPr>
        <w:pStyle w:val="NormalWeb"/>
        <w:spacing w:before="5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 9 місяців 2022 ріку до лікарні госпіталізовано </w:t>
      </w:r>
      <w:r>
        <w:rPr>
          <w:color w:val="000000"/>
          <w:sz w:val="28"/>
          <w:szCs w:val="28"/>
          <w:lang w:val="uk-UA"/>
        </w:rPr>
        <w:t>2927</w:t>
      </w:r>
      <w:r>
        <w:rPr>
          <w:color w:val="000000"/>
          <w:sz w:val="28"/>
          <w:szCs w:val="28"/>
        </w:rPr>
        <w:t> хворих, що на 9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 хвор</w:t>
      </w:r>
      <w:r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</w:rPr>
        <w:t xml:space="preserve"> більше ніж за </w:t>
      </w:r>
      <w:r>
        <w:rPr>
          <w:color w:val="000000"/>
          <w:sz w:val="28"/>
          <w:szCs w:val="28"/>
          <w:lang w:val="uk-UA"/>
        </w:rPr>
        <w:t>9 місяців</w:t>
      </w:r>
      <w:r>
        <w:rPr>
          <w:color w:val="000000"/>
          <w:sz w:val="28"/>
          <w:szCs w:val="28"/>
        </w:rPr>
        <w:t xml:space="preserve"> 2021 року. З усіх госпіталізованих хворих 48,5% міських жителів (</w:t>
      </w:r>
      <w:r>
        <w:rPr>
          <w:color w:val="000000"/>
          <w:sz w:val="28"/>
          <w:szCs w:val="28"/>
          <w:lang w:val="uk-UA"/>
        </w:rPr>
        <w:t>1421</w:t>
      </w:r>
      <w:r>
        <w:rPr>
          <w:color w:val="000000"/>
          <w:sz w:val="28"/>
          <w:szCs w:val="28"/>
        </w:rPr>
        <w:t>чол.) і 51,5% жителі села  (</w:t>
      </w:r>
      <w:r>
        <w:rPr>
          <w:color w:val="000000"/>
          <w:sz w:val="28"/>
          <w:szCs w:val="28"/>
          <w:lang w:val="uk-UA"/>
        </w:rPr>
        <w:t>1506</w:t>
      </w:r>
      <w:r>
        <w:rPr>
          <w:color w:val="000000"/>
          <w:sz w:val="28"/>
          <w:szCs w:val="28"/>
        </w:rPr>
        <w:t>чол.).</w:t>
      </w:r>
    </w:p>
    <w:p w:rsidR="00013C53" w:rsidRDefault="00013C53" w:rsidP="008F7C16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 плановому порядку госпіталізовано 917 хворих (48,9%).</w:t>
      </w:r>
    </w:p>
    <w:p w:rsidR="00013C53" w:rsidRDefault="00013C53" w:rsidP="008F7C16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 структурі лікарняної захворюваності перше місце  займають  хвороби  системи кровообігу, друге хвороби органів дихання,    третє травми, отруєння та деякі інші наслідки дії зовнішніх причин, на четвертому місці  захворювання  органів травлення.</w:t>
      </w:r>
    </w:p>
    <w:p w:rsidR="00013C53" w:rsidRDefault="00013C53" w:rsidP="008F7C16">
      <w:pPr>
        <w:pStyle w:val="NormalWeb"/>
        <w:spacing w:before="5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uk-UA"/>
        </w:rPr>
        <w:t>9 місяців</w:t>
      </w:r>
      <w:r>
        <w:rPr>
          <w:color w:val="000000"/>
          <w:sz w:val="28"/>
          <w:szCs w:val="28"/>
        </w:rPr>
        <w:t xml:space="preserve"> 2022 ріку усіма хворими, які проліковані в стаціонарі було проведено </w:t>
      </w:r>
      <w:r>
        <w:rPr>
          <w:color w:val="000000"/>
          <w:sz w:val="28"/>
          <w:szCs w:val="28"/>
          <w:lang w:val="uk-UA"/>
        </w:rPr>
        <w:t>26161</w:t>
      </w:r>
      <w:r>
        <w:rPr>
          <w:color w:val="000000"/>
          <w:sz w:val="28"/>
          <w:szCs w:val="28"/>
        </w:rPr>
        <w:t> л/дня. Зайнятість ліжка складає 1</w:t>
      </w:r>
      <w:r>
        <w:rPr>
          <w:color w:val="000000"/>
          <w:sz w:val="28"/>
          <w:szCs w:val="28"/>
          <w:lang w:val="uk-UA"/>
        </w:rPr>
        <w:t>80,4</w:t>
      </w:r>
      <w:r>
        <w:rPr>
          <w:color w:val="000000"/>
          <w:sz w:val="28"/>
          <w:szCs w:val="28"/>
        </w:rPr>
        <w:t xml:space="preserve"> дня.</w:t>
      </w:r>
    </w:p>
    <w:p w:rsidR="00013C53" w:rsidRDefault="00013C53" w:rsidP="008F7C16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Середня тривалість лікування за </w:t>
      </w:r>
      <w:r>
        <w:rPr>
          <w:color w:val="000000"/>
          <w:sz w:val="28"/>
          <w:szCs w:val="28"/>
          <w:lang w:val="uk-UA"/>
        </w:rPr>
        <w:t>9 місяців</w:t>
      </w:r>
      <w:r>
        <w:rPr>
          <w:color w:val="000000"/>
          <w:sz w:val="28"/>
          <w:szCs w:val="28"/>
        </w:rPr>
        <w:t xml:space="preserve"> 2022 року становить </w:t>
      </w:r>
      <w:r>
        <w:rPr>
          <w:color w:val="000000"/>
          <w:sz w:val="28"/>
          <w:szCs w:val="28"/>
          <w:lang w:val="uk-UA"/>
        </w:rPr>
        <w:t>9,1</w:t>
      </w:r>
      <w:r>
        <w:rPr>
          <w:color w:val="000000"/>
          <w:sz w:val="28"/>
          <w:szCs w:val="28"/>
        </w:rPr>
        <w:t>дня.</w:t>
      </w:r>
    </w:p>
    <w:p w:rsidR="00013C53" w:rsidRDefault="00013C53" w:rsidP="008F7C16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Обіг ліжка склав </w:t>
      </w:r>
      <w:r>
        <w:rPr>
          <w:color w:val="000000"/>
          <w:sz w:val="28"/>
          <w:szCs w:val="28"/>
          <w:lang w:val="uk-UA"/>
        </w:rPr>
        <w:t>20,0</w:t>
      </w:r>
      <w:r>
        <w:rPr>
          <w:color w:val="000000"/>
          <w:sz w:val="28"/>
          <w:szCs w:val="28"/>
        </w:rPr>
        <w:t xml:space="preserve"> Лікарняна летальність становить </w:t>
      </w:r>
      <w:r>
        <w:rPr>
          <w:color w:val="000000"/>
          <w:sz w:val="28"/>
          <w:szCs w:val="28"/>
          <w:lang w:val="uk-UA"/>
        </w:rPr>
        <w:t>1,3</w:t>
      </w:r>
      <w:r>
        <w:rPr>
          <w:color w:val="000000"/>
          <w:sz w:val="28"/>
          <w:szCs w:val="28"/>
        </w:rPr>
        <w:t>%. Всього в лікарні  за</w:t>
      </w:r>
      <w:r>
        <w:rPr>
          <w:color w:val="000000"/>
          <w:sz w:val="28"/>
          <w:szCs w:val="28"/>
          <w:lang w:val="uk-UA"/>
        </w:rPr>
        <w:t xml:space="preserve"> 9 місяців</w:t>
      </w:r>
      <w:r>
        <w:rPr>
          <w:color w:val="000000"/>
          <w:sz w:val="28"/>
          <w:szCs w:val="28"/>
        </w:rPr>
        <w:t xml:space="preserve"> 2022 ріку померло </w:t>
      </w:r>
      <w:r>
        <w:rPr>
          <w:color w:val="000000"/>
          <w:sz w:val="28"/>
          <w:szCs w:val="28"/>
          <w:lang w:val="uk-UA"/>
        </w:rPr>
        <w:t>38</w:t>
      </w:r>
      <w:r>
        <w:rPr>
          <w:color w:val="000000"/>
          <w:sz w:val="28"/>
          <w:szCs w:val="28"/>
        </w:rPr>
        <w:t> хворих.</w:t>
      </w:r>
    </w:p>
    <w:p w:rsidR="00013C53" w:rsidRDefault="00013C53" w:rsidP="008F7C16">
      <w:pPr>
        <w:pStyle w:val="NormalWeb"/>
        <w:spacing w:before="62" w:beforeAutospacing="0" w:after="0" w:afterAutospacing="0"/>
        <w:ind w:firstLine="538"/>
        <w:jc w:val="both"/>
      </w:pPr>
      <w:r>
        <w:rPr>
          <w:color w:val="000000"/>
          <w:sz w:val="28"/>
          <w:szCs w:val="28"/>
        </w:rPr>
        <w:t>В структурі лікарняної смертності на першому  місці  хвороби  системи  кровообігу – 63,8%, на другому місці хвороби органів травлення – 20,5%. третьому місці  злоякісні новоутворення – 5,9 %.  </w:t>
      </w:r>
    </w:p>
    <w:p w:rsidR="00013C53" w:rsidRDefault="00013C53" w:rsidP="008F7C16">
      <w:pPr>
        <w:pStyle w:val="NormalWeb"/>
        <w:spacing w:before="0" w:beforeAutospacing="0" w:after="0" w:afterAutospacing="0"/>
        <w:ind w:firstLine="542"/>
        <w:jc w:val="both"/>
      </w:pPr>
      <w:r>
        <w:rPr>
          <w:color w:val="000000"/>
          <w:sz w:val="28"/>
          <w:szCs w:val="28"/>
        </w:rPr>
        <w:t>За звітний період в КП «Рожищенській багатопрофільній лікарні» виконано  </w:t>
      </w:r>
      <w:r>
        <w:rPr>
          <w:color w:val="000000"/>
          <w:sz w:val="28"/>
          <w:szCs w:val="28"/>
          <w:lang w:val="uk-UA"/>
        </w:rPr>
        <w:t>532</w:t>
      </w:r>
      <w:r>
        <w:rPr>
          <w:color w:val="000000"/>
          <w:sz w:val="28"/>
          <w:szCs w:val="28"/>
        </w:rPr>
        <w:t> оперативних втручань, що складає </w:t>
      </w:r>
      <w:r>
        <w:rPr>
          <w:color w:val="000000"/>
          <w:sz w:val="28"/>
          <w:szCs w:val="28"/>
          <w:lang w:val="uk-UA"/>
        </w:rPr>
        <w:t>138,7</w:t>
      </w:r>
      <w:r>
        <w:rPr>
          <w:color w:val="000000"/>
          <w:sz w:val="28"/>
          <w:szCs w:val="28"/>
        </w:rPr>
        <w:t xml:space="preserve"> на 10 тис.  населення.    Показник  хірургічної  активності за </w:t>
      </w:r>
      <w:r>
        <w:rPr>
          <w:color w:val="000000"/>
          <w:sz w:val="28"/>
          <w:szCs w:val="28"/>
          <w:lang w:val="uk-UA"/>
        </w:rPr>
        <w:t>9 місяців</w:t>
      </w:r>
      <w:r>
        <w:rPr>
          <w:color w:val="000000"/>
          <w:sz w:val="28"/>
          <w:szCs w:val="28"/>
        </w:rPr>
        <w:t xml:space="preserve"> 2022 року склав </w:t>
      </w:r>
      <w:r>
        <w:rPr>
          <w:color w:val="000000"/>
          <w:sz w:val="28"/>
          <w:szCs w:val="28"/>
          <w:lang w:val="uk-UA"/>
        </w:rPr>
        <w:t>86,7</w:t>
      </w:r>
      <w:r>
        <w:rPr>
          <w:color w:val="000000"/>
          <w:sz w:val="28"/>
          <w:szCs w:val="28"/>
        </w:rPr>
        <w:t>%, до числа пролікованих хворих на ліжках хірургічного профілю.</w:t>
      </w:r>
    </w:p>
    <w:p w:rsidR="00013C53" w:rsidRDefault="00013C53" w:rsidP="008F7C16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пологовому відділенні лікарні проведено </w:t>
      </w:r>
      <w:r>
        <w:rPr>
          <w:color w:val="000000"/>
          <w:sz w:val="28"/>
          <w:szCs w:val="28"/>
          <w:lang w:val="uk-UA"/>
        </w:rPr>
        <w:t xml:space="preserve">124 </w:t>
      </w:r>
      <w:r>
        <w:rPr>
          <w:color w:val="000000"/>
          <w:sz w:val="28"/>
          <w:szCs w:val="28"/>
        </w:rPr>
        <w:t> пологів, за допомогою  кесаревого  розти</w:t>
      </w:r>
      <w:r>
        <w:rPr>
          <w:color w:val="000000"/>
          <w:sz w:val="28"/>
          <w:szCs w:val="28"/>
          <w:lang w:val="uk-UA"/>
        </w:rPr>
        <w:t xml:space="preserve">ну  29 </w:t>
      </w:r>
      <w:r>
        <w:rPr>
          <w:color w:val="000000"/>
          <w:sz w:val="28"/>
          <w:szCs w:val="28"/>
        </w:rPr>
        <w:t>(2</w:t>
      </w:r>
      <w:r>
        <w:rPr>
          <w:color w:val="000000"/>
          <w:sz w:val="28"/>
          <w:szCs w:val="28"/>
          <w:lang w:val="uk-UA"/>
        </w:rPr>
        <w:t>3,4</w:t>
      </w:r>
      <w:r>
        <w:rPr>
          <w:color w:val="000000"/>
          <w:sz w:val="28"/>
          <w:szCs w:val="28"/>
        </w:rPr>
        <w:t>%).  відсоток  раннього  прикладання  новонароджених до  грудей матері та сумісного перебування породіллі з немовлям становить   98,8 %.</w:t>
      </w:r>
    </w:p>
    <w:p w:rsidR="00013C53" w:rsidRPr="008F7C16" w:rsidRDefault="00013C53" w:rsidP="00FE129B">
      <w:pPr>
        <w:ind w:firstLine="709"/>
        <w:jc w:val="both"/>
        <w:rPr>
          <w:rStyle w:val="FontStyle19"/>
          <w:color w:val="FF0000"/>
          <w:sz w:val="28"/>
          <w:szCs w:val="28"/>
          <w:lang w:eastAsia="uk-UA"/>
        </w:rPr>
      </w:pPr>
    </w:p>
    <w:p w:rsidR="00013C53" w:rsidRDefault="00013C53" w:rsidP="00FE129B">
      <w:pPr>
        <w:ind w:firstLine="709"/>
        <w:jc w:val="both"/>
        <w:rPr>
          <w:rStyle w:val="FontStyle19"/>
          <w:color w:val="FF0000"/>
          <w:sz w:val="28"/>
          <w:szCs w:val="28"/>
          <w:lang w:val="uk-UA" w:eastAsia="uk-UA"/>
        </w:rPr>
      </w:pPr>
    </w:p>
    <w:p w:rsidR="00013C53" w:rsidRDefault="00013C53" w:rsidP="00FE12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Медичний 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Олександр МОРГУН</w:t>
      </w:r>
    </w:p>
    <w:p w:rsidR="00013C53" w:rsidRDefault="00013C53" w:rsidP="00FE129B">
      <w:pPr>
        <w:jc w:val="both"/>
        <w:rPr>
          <w:sz w:val="28"/>
          <w:szCs w:val="28"/>
          <w:lang w:val="uk-UA"/>
        </w:rPr>
      </w:pPr>
    </w:p>
    <w:p w:rsidR="00013C53" w:rsidRPr="00511E3A" w:rsidRDefault="00013C53" w:rsidP="00410383">
      <w:pPr>
        <w:ind w:right="-141" w:firstLine="10915"/>
        <w:rPr>
          <w:sz w:val="28"/>
          <w:szCs w:val="28"/>
          <w:lang w:val="uk-UA"/>
        </w:rPr>
      </w:pPr>
    </w:p>
    <w:sectPr w:rsidR="00013C53" w:rsidRPr="00511E3A" w:rsidSect="00784C97">
      <w:pgSz w:w="11906" w:h="16838" w:code="9"/>
      <w:pgMar w:top="360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F8"/>
    <w:multiLevelType w:val="hybridMultilevel"/>
    <w:tmpl w:val="3BEC4994"/>
    <w:lvl w:ilvl="0" w:tplc="E12E36C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F677BC"/>
    <w:multiLevelType w:val="hybridMultilevel"/>
    <w:tmpl w:val="BAE0D920"/>
    <w:lvl w:ilvl="0" w:tplc="FBE0645C">
      <w:start w:val="12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5BFE60A1"/>
    <w:multiLevelType w:val="multilevel"/>
    <w:tmpl w:val="8E3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C5372"/>
    <w:multiLevelType w:val="hybridMultilevel"/>
    <w:tmpl w:val="6972D0E6"/>
    <w:lvl w:ilvl="0" w:tplc="D16A52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31788"/>
    <w:multiLevelType w:val="hybridMultilevel"/>
    <w:tmpl w:val="D63A104C"/>
    <w:lvl w:ilvl="0" w:tplc="4C220504">
      <w:start w:val="11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3C"/>
    <w:rsid w:val="00004041"/>
    <w:rsid w:val="0001151F"/>
    <w:rsid w:val="00013C53"/>
    <w:rsid w:val="00035D0A"/>
    <w:rsid w:val="00064F0F"/>
    <w:rsid w:val="000D106D"/>
    <w:rsid w:val="000F7671"/>
    <w:rsid w:val="001438CB"/>
    <w:rsid w:val="00151013"/>
    <w:rsid w:val="00155B1E"/>
    <w:rsid w:val="00167AD9"/>
    <w:rsid w:val="00173FBA"/>
    <w:rsid w:val="0018370E"/>
    <w:rsid w:val="001844A4"/>
    <w:rsid w:val="00197DD8"/>
    <w:rsid w:val="001B5A8C"/>
    <w:rsid w:val="001C6287"/>
    <w:rsid w:val="001D22C2"/>
    <w:rsid w:val="001D6E9A"/>
    <w:rsid w:val="001E599F"/>
    <w:rsid w:val="001F5693"/>
    <w:rsid w:val="00230B33"/>
    <w:rsid w:val="0025256A"/>
    <w:rsid w:val="0028318F"/>
    <w:rsid w:val="00283B17"/>
    <w:rsid w:val="0028728A"/>
    <w:rsid w:val="00295BA5"/>
    <w:rsid w:val="00297CEF"/>
    <w:rsid w:val="002A0F93"/>
    <w:rsid w:val="002A3FA5"/>
    <w:rsid w:val="002E7DE9"/>
    <w:rsid w:val="002F58B3"/>
    <w:rsid w:val="00303B3F"/>
    <w:rsid w:val="00321FE2"/>
    <w:rsid w:val="003446BE"/>
    <w:rsid w:val="0034581A"/>
    <w:rsid w:val="003753ED"/>
    <w:rsid w:val="003851F4"/>
    <w:rsid w:val="00393C1E"/>
    <w:rsid w:val="003A08C0"/>
    <w:rsid w:val="003B3CF8"/>
    <w:rsid w:val="003C095C"/>
    <w:rsid w:val="003D51F1"/>
    <w:rsid w:val="003E08A1"/>
    <w:rsid w:val="00403D18"/>
    <w:rsid w:val="00410383"/>
    <w:rsid w:val="00454C25"/>
    <w:rsid w:val="00473DFC"/>
    <w:rsid w:val="0048140C"/>
    <w:rsid w:val="00495D1E"/>
    <w:rsid w:val="004C0C28"/>
    <w:rsid w:val="004C1EF9"/>
    <w:rsid w:val="004D2F3C"/>
    <w:rsid w:val="004F52EC"/>
    <w:rsid w:val="004F71FB"/>
    <w:rsid w:val="00511E3A"/>
    <w:rsid w:val="00554558"/>
    <w:rsid w:val="00571BF4"/>
    <w:rsid w:val="005779F1"/>
    <w:rsid w:val="0058019A"/>
    <w:rsid w:val="005C2093"/>
    <w:rsid w:val="005C40E9"/>
    <w:rsid w:val="005E7C8F"/>
    <w:rsid w:val="00601A01"/>
    <w:rsid w:val="00603642"/>
    <w:rsid w:val="006263E5"/>
    <w:rsid w:val="0063305F"/>
    <w:rsid w:val="006816FE"/>
    <w:rsid w:val="00682315"/>
    <w:rsid w:val="0068644D"/>
    <w:rsid w:val="006A4254"/>
    <w:rsid w:val="006B43B6"/>
    <w:rsid w:val="006D3AF7"/>
    <w:rsid w:val="006E0600"/>
    <w:rsid w:val="006E5339"/>
    <w:rsid w:val="006F4EF3"/>
    <w:rsid w:val="007131F9"/>
    <w:rsid w:val="00726157"/>
    <w:rsid w:val="0073492F"/>
    <w:rsid w:val="0077608E"/>
    <w:rsid w:val="00784C97"/>
    <w:rsid w:val="007958F7"/>
    <w:rsid w:val="007D3ED9"/>
    <w:rsid w:val="007E4BDA"/>
    <w:rsid w:val="007E77BE"/>
    <w:rsid w:val="007F768D"/>
    <w:rsid w:val="00803DAA"/>
    <w:rsid w:val="00811431"/>
    <w:rsid w:val="00834023"/>
    <w:rsid w:val="00834CAC"/>
    <w:rsid w:val="00836560"/>
    <w:rsid w:val="00840B1F"/>
    <w:rsid w:val="00853514"/>
    <w:rsid w:val="00883FA7"/>
    <w:rsid w:val="008A7EC0"/>
    <w:rsid w:val="008B3850"/>
    <w:rsid w:val="008B4D86"/>
    <w:rsid w:val="008C2884"/>
    <w:rsid w:val="008F7C16"/>
    <w:rsid w:val="0090116E"/>
    <w:rsid w:val="00904D46"/>
    <w:rsid w:val="00906A3A"/>
    <w:rsid w:val="00913583"/>
    <w:rsid w:val="00913D69"/>
    <w:rsid w:val="0093749A"/>
    <w:rsid w:val="009446AB"/>
    <w:rsid w:val="00962476"/>
    <w:rsid w:val="00963C36"/>
    <w:rsid w:val="00970188"/>
    <w:rsid w:val="009738C0"/>
    <w:rsid w:val="00992642"/>
    <w:rsid w:val="009A2587"/>
    <w:rsid w:val="00A00709"/>
    <w:rsid w:val="00A14F13"/>
    <w:rsid w:val="00A27C7D"/>
    <w:rsid w:val="00A46147"/>
    <w:rsid w:val="00A5444C"/>
    <w:rsid w:val="00A57C0F"/>
    <w:rsid w:val="00A62847"/>
    <w:rsid w:val="00B14FB0"/>
    <w:rsid w:val="00B21B4A"/>
    <w:rsid w:val="00B324C2"/>
    <w:rsid w:val="00B46152"/>
    <w:rsid w:val="00B466A5"/>
    <w:rsid w:val="00B478E3"/>
    <w:rsid w:val="00B72B70"/>
    <w:rsid w:val="00B82B85"/>
    <w:rsid w:val="00B86872"/>
    <w:rsid w:val="00B8743F"/>
    <w:rsid w:val="00B92795"/>
    <w:rsid w:val="00BB4999"/>
    <w:rsid w:val="00C13E35"/>
    <w:rsid w:val="00C354C7"/>
    <w:rsid w:val="00C63660"/>
    <w:rsid w:val="00C90FB0"/>
    <w:rsid w:val="00CC554C"/>
    <w:rsid w:val="00CD44CB"/>
    <w:rsid w:val="00CF1BEC"/>
    <w:rsid w:val="00D020C8"/>
    <w:rsid w:val="00D132C5"/>
    <w:rsid w:val="00D302D8"/>
    <w:rsid w:val="00D33A95"/>
    <w:rsid w:val="00D34092"/>
    <w:rsid w:val="00D528D4"/>
    <w:rsid w:val="00D57B61"/>
    <w:rsid w:val="00D60F4C"/>
    <w:rsid w:val="00D667EA"/>
    <w:rsid w:val="00D878F3"/>
    <w:rsid w:val="00D92D14"/>
    <w:rsid w:val="00DA28B7"/>
    <w:rsid w:val="00DB15DE"/>
    <w:rsid w:val="00DE061F"/>
    <w:rsid w:val="00DE196F"/>
    <w:rsid w:val="00DE7160"/>
    <w:rsid w:val="00DF5748"/>
    <w:rsid w:val="00E111D1"/>
    <w:rsid w:val="00E264B7"/>
    <w:rsid w:val="00E45682"/>
    <w:rsid w:val="00E70977"/>
    <w:rsid w:val="00E8201E"/>
    <w:rsid w:val="00E91C5F"/>
    <w:rsid w:val="00EA2664"/>
    <w:rsid w:val="00EB7C82"/>
    <w:rsid w:val="00EC7913"/>
    <w:rsid w:val="00EE7759"/>
    <w:rsid w:val="00EF1640"/>
    <w:rsid w:val="00F07898"/>
    <w:rsid w:val="00F237A7"/>
    <w:rsid w:val="00F26C52"/>
    <w:rsid w:val="00F34B85"/>
    <w:rsid w:val="00F355E2"/>
    <w:rsid w:val="00F564FA"/>
    <w:rsid w:val="00F57495"/>
    <w:rsid w:val="00F62E73"/>
    <w:rsid w:val="00F72751"/>
    <w:rsid w:val="00F93FB0"/>
    <w:rsid w:val="00FC23D2"/>
    <w:rsid w:val="00FD35B7"/>
    <w:rsid w:val="00FE129B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F3C"/>
    <w:pPr>
      <w:keepNext/>
      <w:outlineLvl w:val="0"/>
    </w:pPr>
    <w:rPr>
      <w:i/>
      <w:i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3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D2F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3C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155B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E129B"/>
    <w:pPr>
      <w:widowControl w:val="0"/>
      <w:autoSpaceDE w:val="0"/>
      <w:autoSpaceDN w:val="0"/>
      <w:adjustRightInd w:val="0"/>
      <w:spacing w:line="342" w:lineRule="exact"/>
      <w:ind w:firstLine="542"/>
      <w:jc w:val="both"/>
    </w:pPr>
  </w:style>
  <w:style w:type="paragraph" w:customStyle="1" w:styleId="Style4">
    <w:name w:val="Style4"/>
    <w:basedOn w:val="Normal"/>
    <w:link w:val="Style40"/>
    <w:uiPriority w:val="99"/>
    <w:rsid w:val="00FE129B"/>
    <w:pPr>
      <w:widowControl w:val="0"/>
      <w:autoSpaceDE w:val="0"/>
      <w:autoSpaceDN w:val="0"/>
      <w:adjustRightInd w:val="0"/>
      <w:spacing w:line="347" w:lineRule="exact"/>
      <w:ind w:firstLine="538"/>
    </w:pPr>
  </w:style>
  <w:style w:type="character" w:customStyle="1" w:styleId="FontStyle19">
    <w:name w:val="Font Style19"/>
    <w:basedOn w:val="DefaultParagraphFont"/>
    <w:uiPriority w:val="99"/>
    <w:rsid w:val="00FE129B"/>
    <w:rPr>
      <w:rFonts w:ascii="Times New Roman" w:hAnsi="Times New Roman" w:cs="Times New Roman"/>
      <w:spacing w:val="20"/>
      <w:sz w:val="24"/>
      <w:szCs w:val="24"/>
    </w:rPr>
  </w:style>
  <w:style w:type="paragraph" w:customStyle="1" w:styleId="FontStyle1914">
    <w:name w:val="Font Style19 + 14 пт"/>
    <w:basedOn w:val="Style4"/>
    <w:link w:val="FontStyle19140"/>
    <w:uiPriority w:val="99"/>
    <w:rsid w:val="00FE129B"/>
    <w:pPr>
      <w:widowControl/>
      <w:spacing w:line="341" w:lineRule="exact"/>
      <w:ind w:firstLine="552"/>
      <w:jc w:val="both"/>
    </w:pPr>
    <w:rPr>
      <w:sz w:val="28"/>
      <w:szCs w:val="28"/>
      <w:lang w:val="uk-UA" w:eastAsia="uk-UA"/>
    </w:rPr>
  </w:style>
  <w:style w:type="character" w:customStyle="1" w:styleId="Style40">
    <w:name w:val="Style4 Знак"/>
    <w:basedOn w:val="DefaultParagraphFont"/>
    <w:link w:val="Style4"/>
    <w:uiPriority w:val="99"/>
    <w:locked/>
    <w:rsid w:val="00FE129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140">
    <w:name w:val="Font Style19 + 14 пт Знак"/>
    <w:basedOn w:val="Style40"/>
    <w:link w:val="FontStyle1914"/>
    <w:uiPriority w:val="99"/>
    <w:locked/>
    <w:rsid w:val="00FE129B"/>
    <w:rPr>
      <w:sz w:val="28"/>
      <w:szCs w:val="28"/>
      <w:lang w:eastAsia="uk-UA"/>
    </w:rPr>
  </w:style>
  <w:style w:type="paragraph" w:styleId="ListParagraph">
    <w:name w:val="List Paragraph"/>
    <w:basedOn w:val="Normal"/>
    <w:uiPriority w:val="99"/>
    <w:qFormat/>
    <w:rsid w:val="00FE129B"/>
    <w:pPr>
      <w:suppressAutoHyphens/>
      <w:ind w:left="720"/>
      <w:contextualSpacing/>
    </w:pPr>
    <w:rPr>
      <w:sz w:val="20"/>
      <w:szCs w:val="20"/>
      <w:lang w:eastAsia="zh-CN"/>
    </w:rPr>
  </w:style>
  <w:style w:type="character" w:customStyle="1" w:styleId="forpeoplewithlowvision">
    <w:name w:val="forpeoplewithlowvision"/>
    <w:basedOn w:val="DefaultParagraphFont"/>
    <w:uiPriority w:val="99"/>
    <w:rsid w:val="00FE129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97DD8"/>
    <w:rPr>
      <w:rFonts w:cs="Times New Roman"/>
      <w:i/>
      <w:iCs/>
    </w:rPr>
  </w:style>
  <w:style w:type="paragraph" w:customStyle="1" w:styleId="docdata">
    <w:name w:val="docdata"/>
    <w:aliases w:val="docy,v5,20865,baiaagaaboqcaaadskkaaavys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F9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A0F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9-05-004174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08-09-003416-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7-19-007714-a" TargetMode="External"/><Relationship Id="rId11" Type="http://schemas.openxmlformats.org/officeDocument/2006/relationships/hyperlink" Target="https://prozorro.gov.ua/tender/UA-2022-09-14-006362-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ozorro.gov.ua/tender/UA-2022-09-06-009534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2-09-09-002128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1839</Words>
  <Characters>10487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sekretar</cp:lastModifiedBy>
  <cp:revision>4</cp:revision>
  <cp:lastPrinted>2022-11-04T12:33:00Z</cp:lastPrinted>
  <dcterms:created xsi:type="dcterms:W3CDTF">2022-11-14T13:49:00Z</dcterms:created>
  <dcterms:modified xsi:type="dcterms:W3CDTF">2022-11-22T17:21:00Z</dcterms:modified>
</cp:coreProperties>
</file>