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77A" w:rsidRDefault="0085677A" w:rsidP="005835B3">
      <w:pPr>
        <w:widowControl w:val="0"/>
        <w:tabs>
          <w:tab w:val="left" w:pos="709"/>
        </w:tabs>
        <w:spacing w:after="0" w:line="240" w:lineRule="auto"/>
        <w:ind w:firstLine="760"/>
        <w:contextualSpacing/>
        <w:jc w:val="center"/>
        <w:rPr>
          <w:rFonts w:ascii="Times New Roman" w:hAnsi="Times New Roman" w:cs="Times New Roman"/>
          <w:sz w:val="28"/>
          <w:szCs w:val="24"/>
        </w:rPr>
      </w:pPr>
    </w:p>
    <w:p w:rsidR="0085677A" w:rsidRPr="00F16249" w:rsidRDefault="0085677A" w:rsidP="005835B3">
      <w:pPr>
        <w:spacing w:after="0" w:line="360" w:lineRule="auto"/>
        <w:rPr>
          <w:rFonts w:ascii="Times New Roman" w:hAnsi="Times New Roman" w:cs="Times New Roman"/>
          <w:sz w:val="28"/>
          <w:szCs w:val="28"/>
        </w:rPr>
      </w:pPr>
      <w:r>
        <w:rPr>
          <w:rFonts w:ascii="Times New Roman" w:hAnsi="Times New Roman" w:cs="Times New Roman"/>
          <w:spacing w:val="-5"/>
          <w:szCs w:val="24"/>
        </w:rPr>
        <w:t xml:space="preserve">                                                                                          </w:t>
      </w:r>
      <w:r>
        <w:rPr>
          <w:rFonts w:ascii="Times New Roman" w:hAnsi="Times New Roman" w:cs="Times New Roman"/>
          <w:spacing w:val="-5"/>
          <w:szCs w:val="24"/>
        </w:rPr>
        <w:tab/>
      </w:r>
      <w:r>
        <w:rPr>
          <w:rFonts w:ascii="Times New Roman" w:hAnsi="Times New Roman" w:cs="Times New Roman"/>
          <w:spacing w:val="-5"/>
          <w:szCs w:val="24"/>
        </w:rPr>
        <w:tab/>
      </w:r>
      <w:r>
        <w:rPr>
          <w:rFonts w:ascii="Times New Roman" w:hAnsi="Times New Roman" w:cs="Times New Roman"/>
          <w:spacing w:val="-5"/>
          <w:szCs w:val="24"/>
        </w:rPr>
        <w:tab/>
      </w:r>
      <w:r>
        <w:rPr>
          <w:rFonts w:ascii="Times New Roman" w:hAnsi="Times New Roman" w:cs="Times New Roman"/>
          <w:spacing w:val="-5"/>
          <w:szCs w:val="24"/>
        </w:rPr>
        <w:tab/>
      </w:r>
      <w:r>
        <w:rPr>
          <w:rFonts w:ascii="Times New Roman" w:hAnsi="Times New Roman" w:cs="Times New Roman"/>
          <w:spacing w:val="-5"/>
          <w:szCs w:val="24"/>
        </w:rPr>
        <w:tab/>
      </w:r>
      <w:r>
        <w:rPr>
          <w:rFonts w:ascii="Times New Roman" w:hAnsi="Times New Roman" w:cs="Times New Roman"/>
          <w:spacing w:val="-5"/>
          <w:szCs w:val="24"/>
        </w:rPr>
        <w:tab/>
      </w:r>
      <w:r>
        <w:rPr>
          <w:rFonts w:ascii="Times New Roman" w:hAnsi="Times New Roman" w:cs="Times New Roman"/>
          <w:spacing w:val="-5"/>
          <w:szCs w:val="24"/>
        </w:rPr>
        <w:tab/>
      </w:r>
      <w:r>
        <w:rPr>
          <w:rFonts w:ascii="Times New Roman" w:hAnsi="Times New Roman" w:cs="Times New Roman"/>
          <w:spacing w:val="-5"/>
          <w:szCs w:val="24"/>
        </w:rPr>
        <w:tab/>
        <w:t xml:space="preserve">    </w:t>
      </w:r>
      <w:r w:rsidRPr="00F16249">
        <w:rPr>
          <w:rFonts w:ascii="Times New Roman" w:hAnsi="Times New Roman" w:cs="Times New Roman"/>
          <w:spacing w:val="-5"/>
          <w:sz w:val="28"/>
          <w:szCs w:val="28"/>
        </w:rPr>
        <w:t>Додаток</w:t>
      </w:r>
    </w:p>
    <w:p w:rsidR="0085677A" w:rsidRPr="00F16249" w:rsidRDefault="0085677A" w:rsidP="005835B3">
      <w:pPr>
        <w:shd w:val="clear" w:color="auto" w:fill="FFFFFF"/>
        <w:autoSpaceDE w:val="0"/>
        <w:autoSpaceDN w:val="0"/>
        <w:adjustRightInd w:val="0"/>
        <w:spacing w:after="0" w:line="360" w:lineRule="auto"/>
        <w:rPr>
          <w:rFonts w:ascii="Times New Roman" w:hAnsi="Times New Roman" w:cs="Times New Roman"/>
          <w:sz w:val="28"/>
          <w:szCs w:val="28"/>
        </w:rPr>
      </w:pPr>
      <w:r w:rsidRPr="00F16249">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t xml:space="preserve">  </w:t>
      </w:r>
      <w:r w:rsidRPr="00F16249">
        <w:rPr>
          <w:rFonts w:ascii="Times New Roman" w:hAnsi="Times New Roman" w:cs="Times New Roman"/>
          <w:spacing w:val="-2"/>
          <w:sz w:val="28"/>
          <w:szCs w:val="28"/>
        </w:rPr>
        <w:t xml:space="preserve">до рішення </w:t>
      </w:r>
      <w:r>
        <w:rPr>
          <w:rFonts w:ascii="Times New Roman" w:hAnsi="Times New Roman" w:cs="Times New Roman"/>
          <w:spacing w:val="-2"/>
          <w:sz w:val="28"/>
          <w:szCs w:val="28"/>
        </w:rPr>
        <w:t xml:space="preserve">Рожищенської </w:t>
      </w:r>
      <w:r w:rsidRPr="00F16249">
        <w:rPr>
          <w:rFonts w:ascii="Times New Roman" w:hAnsi="Times New Roman" w:cs="Times New Roman"/>
          <w:spacing w:val="-2"/>
          <w:sz w:val="28"/>
          <w:szCs w:val="28"/>
        </w:rPr>
        <w:t>міської ради</w:t>
      </w:r>
    </w:p>
    <w:p w:rsidR="0085677A" w:rsidRPr="00F16249" w:rsidRDefault="0085677A" w:rsidP="005835B3">
      <w:pPr>
        <w:shd w:val="clear" w:color="auto" w:fill="FFFFFF"/>
        <w:autoSpaceDE w:val="0"/>
        <w:autoSpaceDN w:val="0"/>
        <w:adjustRightInd w:val="0"/>
        <w:spacing w:after="0" w:line="360" w:lineRule="auto"/>
        <w:rPr>
          <w:rFonts w:ascii="Times New Roman" w:hAnsi="Times New Roman" w:cs="Times New Roman"/>
          <w:spacing w:val="-5"/>
          <w:sz w:val="28"/>
          <w:szCs w:val="28"/>
        </w:rPr>
      </w:pPr>
      <w:r w:rsidRPr="00F16249">
        <w:rPr>
          <w:rFonts w:ascii="Times New Roman" w:hAnsi="Times New Roman" w:cs="Times New Roman"/>
          <w:spacing w:val="-5"/>
          <w:sz w:val="28"/>
          <w:szCs w:val="28"/>
        </w:rPr>
        <w:t xml:space="preserve">                                                              </w:t>
      </w:r>
      <w:r>
        <w:rPr>
          <w:rFonts w:ascii="Times New Roman" w:hAnsi="Times New Roman" w:cs="Times New Roman"/>
          <w:spacing w:val="-5"/>
          <w:sz w:val="28"/>
          <w:szCs w:val="28"/>
        </w:rPr>
        <w:t xml:space="preserve">            </w:t>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t xml:space="preserve">  </w:t>
      </w:r>
      <w:r w:rsidRPr="00F16249">
        <w:rPr>
          <w:rFonts w:ascii="Times New Roman" w:hAnsi="Times New Roman" w:cs="Times New Roman"/>
          <w:spacing w:val="-5"/>
          <w:sz w:val="28"/>
          <w:szCs w:val="28"/>
        </w:rPr>
        <w:t>від 20</w:t>
      </w:r>
      <w:r>
        <w:rPr>
          <w:rFonts w:ascii="Times New Roman" w:hAnsi="Times New Roman" w:cs="Times New Roman"/>
          <w:spacing w:val="-5"/>
          <w:sz w:val="28"/>
          <w:szCs w:val="28"/>
        </w:rPr>
        <w:t xml:space="preserve"> лютого 2025 року №  53</w:t>
      </w:r>
      <w:r w:rsidRPr="00E208AB">
        <w:rPr>
          <w:rFonts w:ascii="Times New Roman" w:hAnsi="Times New Roman" w:cs="Times New Roman"/>
          <w:spacing w:val="-5"/>
          <w:sz w:val="28"/>
          <w:szCs w:val="28"/>
        </w:rPr>
        <w:t>/</w:t>
      </w:r>
      <w:r>
        <w:rPr>
          <w:rFonts w:ascii="Times New Roman" w:hAnsi="Times New Roman" w:cs="Times New Roman"/>
          <w:spacing w:val="-5"/>
          <w:sz w:val="28"/>
          <w:szCs w:val="28"/>
        </w:rPr>
        <w:t>23</w:t>
      </w:r>
    </w:p>
    <w:p w:rsidR="0085677A" w:rsidRDefault="0085677A" w:rsidP="00516085">
      <w:pPr>
        <w:widowControl w:val="0"/>
        <w:tabs>
          <w:tab w:val="left" w:pos="709"/>
        </w:tabs>
        <w:spacing w:after="0" w:line="240" w:lineRule="auto"/>
        <w:contextualSpacing/>
        <w:rPr>
          <w:rFonts w:ascii="Times New Roman" w:hAnsi="Times New Roman" w:cs="Times New Roman"/>
          <w:sz w:val="28"/>
          <w:szCs w:val="24"/>
        </w:rPr>
      </w:pPr>
    </w:p>
    <w:p w:rsidR="0085677A" w:rsidRPr="005835B3" w:rsidRDefault="0085677A" w:rsidP="00516085">
      <w:pPr>
        <w:widowControl w:val="0"/>
        <w:tabs>
          <w:tab w:val="left" w:pos="709"/>
        </w:tabs>
        <w:spacing w:after="0" w:line="240" w:lineRule="auto"/>
        <w:ind w:firstLine="760"/>
        <w:contextualSpacing/>
        <w:rPr>
          <w:rFonts w:ascii="Times New Roman" w:hAnsi="Times New Roman" w:cs="Times New Roman"/>
          <w:b/>
          <w:sz w:val="28"/>
          <w:szCs w:val="24"/>
        </w:rPr>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 xml:space="preserve">   </w:t>
      </w:r>
      <w:r w:rsidRPr="005835B3">
        <w:rPr>
          <w:rFonts w:ascii="Times New Roman" w:hAnsi="Times New Roman" w:cs="Times New Roman"/>
          <w:b/>
          <w:sz w:val="28"/>
          <w:szCs w:val="24"/>
        </w:rPr>
        <w:t xml:space="preserve">Звіт </w:t>
      </w:r>
    </w:p>
    <w:p w:rsidR="0085677A" w:rsidRPr="005835B3" w:rsidRDefault="0085677A" w:rsidP="005835B3">
      <w:pPr>
        <w:widowControl w:val="0"/>
        <w:tabs>
          <w:tab w:val="left" w:pos="709"/>
        </w:tabs>
        <w:spacing w:after="0" w:line="240" w:lineRule="auto"/>
        <w:contextualSpacing/>
        <w:jc w:val="center"/>
        <w:rPr>
          <w:rFonts w:ascii="Times New Roman" w:hAnsi="Times New Roman" w:cs="Times New Roman"/>
          <w:b/>
          <w:sz w:val="28"/>
          <w:szCs w:val="24"/>
        </w:rPr>
      </w:pPr>
      <w:r w:rsidRPr="005835B3">
        <w:rPr>
          <w:rFonts w:ascii="Times New Roman" w:hAnsi="Times New Roman" w:cs="Times New Roman"/>
          <w:b/>
          <w:sz w:val="28"/>
          <w:szCs w:val="24"/>
        </w:rPr>
        <w:t xml:space="preserve">про хід виконання у 2024 році Цільової соціальної Програми «Молодь Рожищенської міської територіальної громади» </w:t>
      </w:r>
    </w:p>
    <w:p w:rsidR="0085677A" w:rsidRPr="005835B3" w:rsidRDefault="0085677A" w:rsidP="005835B3">
      <w:pPr>
        <w:widowControl w:val="0"/>
        <w:tabs>
          <w:tab w:val="left" w:pos="709"/>
        </w:tabs>
        <w:spacing w:after="0" w:line="240" w:lineRule="auto"/>
        <w:contextualSpacing/>
        <w:jc w:val="center"/>
        <w:rPr>
          <w:rFonts w:ascii="Times New Roman" w:hAnsi="Times New Roman" w:cs="Times New Roman"/>
          <w:b/>
          <w:sz w:val="28"/>
          <w:szCs w:val="24"/>
        </w:rPr>
      </w:pPr>
      <w:r w:rsidRPr="005835B3">
        <w:rPr>
          <w:rFonts w:ascii="Times New Roman" w:hAnsi="Times New Roman" w:cs="Times New Roman"/>
          <w:b/>
          <w:sz w:val="28"/>
          <w:szCs w:val="24"/>
        </w:rPr>
        <w:t>на 2024-2026 рік</w:t>
      </w:r>
    </w:p>
    <w:p w:rsidR="0085677A" w:rsidRPr="00B911A7" w:rsidRDefault="0085677A" w:rsidP="008D6FBD">
      <w:pPr>
        <w:widowControl w:val="0"/>
        <w:tabs>
          <w:tab w:val="left" w:pos="709"/>
        </w:tabs>
        <w:spacing w:after="0" w:line="240" w:lineRule="auto"/>
        <w:ind w:firstLine="760"/>
        <w:contextualSpacing/>
        <w:jc w:val="center"/>
        <w:rPr>
          <w:rFonts w:ascii="Times New Roman" w:hAnsi="Times New Roman" w:cs="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0"/>
        <w:gridCol w:w="1805"/>
        <w:gridCol w:w="2409"/>
        <w:gridCol w:w="2593"/>
        <w:gridCol w:w="1660"/>
        <w:gridCol w:w="1701"/>
        <w:gridCol w:w="4961"/>
      </w:tblGrid>
      <w:tr w:rsidR="0085677A" w:rsidRPr="00B911A7" w:rsidTr="00653606">
        <w:tc>
          <w:tcPr>
            <w:tcW w:w="430" w:type="dxa"/>
            <w:vAlign w:val="center"/>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      з/п</w:t>
            </w:r>
          </w:p>
        </w:tc>
        <w:tc>
          <w:tcPr>
            <w:tcW w:w="1805" w:type="dxa"/>
            <w:vAlign w:val="center"/>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Перелік завдань Програми</w:t>
            </w:r>
          </w:p>
        </w:tc>
        <w:tc>
          <w:tcPr>
            <w:tcW w:w="2409" w:type="dxa"/>
            <w:vAlign w:val="center"/>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Перелік заходів Програми</w:t>
            </w:r>
          </w:p>
        </w:tc>
        <w:tc>
          <w:tcPr>
            <w:tcW w:w="2593" w:type="dxa"/>
            <w:vAlign w:val="center"/>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Виконавці</w:t>
            </w:r>
          </w:p>
        </w:tc>
        <w:tc>
          <w:tcPr>
            <w:tcW w:w="1660" w:type="dxa"/>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Орієнтовні обсяги фінансування (вартість),</w:t>
            </w:r>
          </w:p>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тис. грн,</w:t>
            </w:r>
          </w:p>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у тому числі:</w:t>
            </w:r>
          </w:p>
        </w:tc>
        <w:tc>
          <w:tcPr>
            <w:tcW w:w="1701" w:type="dxa"/>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Фактичні обсяги фінансування (вартість),</w:t>
            </w:r>
          </w:p>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тис. грн,</w:t>
            </w:r>
          </w:p>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у тому числі:</w:t>
            </w:r>
          </w:p>
        </w:tc>
        <w:tc>
          <w:tcPr>
            <w:tcW w:w="4961"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bookmarkStart w:id="0" w:name="_GoBack"/>
            <w:bookmarkEnd w:id="0"/>
          </w:p>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Стан виконання</w:t>
            </w:r>
          </w:p>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p>
        </w:tc>
      </w:tr>
      <w:tr w:rsidR="0085677A" w:rsidRPr="00B911A7" w:rsidTr="00653606">
        <w:tc>
          <w:tcPr>
            <w:tcW w:w="430" w:type="dxa"/>
          </w:tcPr>
          <w:p w:rsidR="0085677A" w:rsidRPr="00653606" w:rsidRDefault="0085677A"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1.</w:t>
            </w:r>
          </w:p>
        </w:tc>
        <w:tc>
          <w:tcPr>
            <w:tcW w:w="1805" w:type="dxa"/>
          </w:tcPr>
          <w:p w:rsidR="0085677A" w:rsidRPr="00653606" w:rsidRDefault="0085677A" w:rsidP="00653606">
            <w:pPr>
              <w:spacing w:after="0" w:line="240" w:lineRule="auto"/>
              <w:ind w:right="-82"/>
              <w:contextualSpacing/>
              <w:rPr>
                <w:rFonts w:ascii="Times New Roman" w:hAnsi="Times New Roman" w:cs="Times New Roman"/>
                <w:sz w:val="24"/>
                <w:szCs w:val="24"/>
              </w:rPr>
            </w:pPr>
            <w:r w:rsidRPr="00653606">
              <w:rPr>
                <w:rFonts w:ascii="Times New Roman" w:hAnsi="Times New Roman" w:cs="Times New Roman"/>
                <w:sz w:val="24"/>
                <w:szCs w:val="24"/>
              </w:rPr>
              <w:t xml:space="preserve">Формування громадянської позиції </w:t>
            </w:r>
          </w:p>
          <w:p w:rsidR="0085677A" w:rsidRPr="00653606" w:rsidRDefault="0085677A" w:rsidP="00653606">
            <w:pPr>
              <w:spacing w:after="0" w:line="240" w:lineRule="auto"/>
              <w:ind w:right="-82"/>
              <w:contextualSpacing/>
              <w:rPr>
                <w:rFonts w:ascii="Times New Roman" w:hAnsi="Times New Roman" w:cs="Times New Roman"/>
                <w:sz w:val="24"/>
                <w:szCs w:val="24"/>
              </w:rPr>
            </w:pPr>
            <w:r w:rsidRPr="00653606">
              <w:rPr>
                <w:rFonts w:ascii="Times New Roman" w:hAnsi="Times New Roman" w:cs="Times New Roman"/>
                <w:sz w:val="24"/>
                <w:szCs w:val="24"/>
              </w:rPr>
              <w:t>молоді</w:t>
            </w:r>
          </w:p>
        </w:tc>
        <w:tc>
          <w:tcPr>
            <w:tcW w:w="2409" w:type="dxa"/>
          </w:tcPr>
          <w:p w:rsidR="0085677A" w:rsidRPr="00653606" w:rsidRDefault="0085677A" w:rsidP="00653606">
            <w:pPr>
              <w:tabs>
                <w:tab w:val="left" w:pos="207"/>
              </w:tabs>
              <w:spacing w:after="0" w:line="240" w:lineRule="auto"/>
              <w:contextualSpacing/>
              <w:rPr>
                <w:sz w:val="24"/>
                <w:szCs w:val="24"/>
              </w:rPr>
            </w:pPr>
            <w:r w:rsidRPr="00653606">
              <w:rPr>
                <w:rFonts w:ascii="Times New Roman" w:hAnsi="Times New Roman" w:cs="Times New Roman"/>
                <w:sz w:val="24"/>
                <w:szCs w:val="24"/>
              </w:rPr>
              <w:t>1.1 Проведення конкурсу проектів розроблених інститутами громадянського суспільства та іншими суб'єктами молодіжної роботи для дітей та молоді.</w:t>
            </w:r>
          </w:p>
        </w:tc>
        <w:tc>
          <w:tcPr>
            <w:tcW w:w="2593" w:type="dxa"/>
          </w:tcPr>
          <w:p w:rsidR="0085677A" w:rsidRPr="00653606" w:rsidRDefault="0085677A" w:rsidP="00653606">
            <w:pPr>
              <w:spacing w:after="0" w:line="259"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Гуманітарний відділ Рожищенської міської ради</w:t>
            </w:r>
          </w:p>
          <w:p w:rsidR="0085677A" w:rsidRPr="00653606" w:rsidRDefault="0085677A" w:rsidP="00653606">
            <w:pPr>
              <w:spacing w:after="0" w:line="259"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КЗ «Молодіжний центр» Рожищенської міської ради</w:t>
            </w:r>
          </w:p>
        </w:tc>
        <w:tc>
          <w:tcPr>
            <w:tcW w:w="1660"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50,0</w:t>
            </w:r>
          </w:p>
        </w:tc>
        <w:tc>
          <w:tcPr>
            <w:tcW w:w="1701"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59,5</w:t>
            </w:r>
          </w:p>
        </w:tc>
        <w:tc>
          <w:tcPr>
            <w:tcW w:w="4961" w:type="dxa"/>
          </w:tcPr>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У вересні 2024 року було запущено процедуру проведення конкурсу проектів розроблених інститутами громадянського суспільства та іншими суб'єктами молодіжної роботи для дітей та молоді. Організовано презентацію про деталі конкурсу  для зацікавлених осіб та надано технічну підтримку щодо написання проектних заявок. Переможцями Конкурсу стало 4 ініціативи:</w:t>
            </w:r>
            <w:r w:rsidRPr="00653606">
              <w:rPr>
                <w:rFonts w:ascii="Times New Roman" w:hAnsi="Times New Roman" w:cs="Times New Roman"/>
                <w:sz w:val="24"/>
                <w:szCs w:val="24"/>
              </w:rPr>
              <w:br/>
              <w:t>Шкільна Green-зона – ініціативна група учнівського самоврядування «ЕкоСерце», Рожищенський ліцей №3.</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Чистий звук для яскравого майбутнього – учнівське самоврядування Крижівського ліцею.</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Учнівський простір «Релакс майбутнього» – учнівське самоврядування «Цікавість» Носачевицької гімназії.</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Учнівський простір «Куточок позитивних емоцій» – учнівське самоврядування Рожищенський ліцей № 2. </w:t>
            </w:r>
          </w:p>
        </w:tc>
      </w:tr>
      <w:tr w:rsidR="0085677A" w:rsidRPr="00B911A7" w:rsidTr="00653606">
        <w:tc>
          <w:tcPr>
            <w:tcW w:w="430"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1805"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2409" w:type="dxa"/>
          </w:tcPr>
          <w:p w:rsidR="0085677A" w:rsidRPr="00653606" w:rsidRDefault="0085677A" w:rsidP="00653606">
            <w:pPr>
              <w:tabs>
                <w:tab w:val="left" w:pos="207"/>
              </w:tabs>
              <w:spacing w:after="0" w:line="240" w:lineRule="auto"/>
              <w:ind w:left="66"/>
              <w:contextualSpacing/>
              <w:rPr>
                <w:rFonts w:ascii="Times New Roman" w:hAnsi="Times New Roman" w:cs="Times New Roman"/>
                <w:i/>
                <w:sz w:val="24"/>
                <w:szCs w:val="24"/>
              </w:rPr>
            </w:pPr>
            <w:r w:rsidRPr="00653606">
              <w:rPr>
                <w:rFonts w:ascii="Times New Roman" w:hAnsi="Times New Roman" w:cs="Times New Roman"/>
                <w:sz w:val="24"/>
                <w:szCs w:val="24"/>
              </w:rPr>
              <w:t>1.2 Організація заходів щодо розвитку серед молоді громадянських- компетентностей.</w:t>
            </w:r>
          </w:p>
          <w:p w:rsidR="0085677A" w:rsidRPr="00653606" w:rsidRDefault="0085677A" w:rsidP="00653606">
            <w:pPr>
              <w:tabs>
                <w:tab w:val="left" w:pos="207"/>
              </w:tabs>
              <w:spacing w:after="0" w:line="240" w:lineRule="auto"/>
              <w:ind w:left="66" w:firstLine="225"/>
              <w:contextualSpacing/>
              <w:rPr>
                <w:rFonts w:ascii="Times New Roman" w:hAnsi="Times New Roman" w:cs="Times New Roman"/>
                <w:i/>
                <w:sz w:val="24"/>
                <w:szCs w:val="24"/>
              </w:rPr>
            </w:pPr>
            <w:r w:rsidRPr="00653606">
              <w:rPr>
                <w:rFonts w:ascii="Times New Roman" w:hAnsi="Times New Roman" w:cs="Times New Roman"/>
                <w:sz w:val="24"/>
                <w:szCs w:val="24"/>
              </w:rPr>
              <w:t xml:space="preserve">Тренінги: </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Лідерство;</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Ефективна комунікація;</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Мистецтво публічного виступу;</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Громадянська освіта для підлітків та молоді;</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Проведення дебатних турнірів;</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Критичне мислення;</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Емоційний інтелект;</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Самоорганізація;</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xml:space="preserve">- Самопрезентація </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В т.ч. поширення інформаційних та візуальних матеріалів про заходи.</w:t>
            </w:r>
          </w:p>
        </w:tc>
        <w:tc>
          <w:tcPr>
            <w:tcW w:w="2593" w:type="dxa"/>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КЗ «МЦ» Рожищенської міської ради;</w:t>
            </w:r>
          </w:p>
          <w:p w:rsidR="0085677A" w:rsidRPr="00653606" w:rsidRDefault="0085677A" w:rsidP="00653606">
            <w:pPr>
              <w:spacing w:after="0" w:line="259" w:lineRule="auto"/>
              <w:ind w:left="-178"/>
              <w:contextualSpacing/>
              <w:jc w:val="center"/>
              <w:rPr>
                <w:rFonts w:ascii="Times New Roman" w:hAnsi="Times New Roman" w:cs="Times New Roman"/>
                <w:sz w:val="24"/>
                <w:szCs w:val="24"/>
              </w:rPr>
            </w:pPr>
            <w:r w:rsidRPr="00653606">
              <w:rPr>
                <w:rFonts w:ascii="Times New Roman" w:hAnsi="Times New Roman" w:cs="Times New Roman"/>
                <w:sz w:val="24"/>
                <w:szCs w:val="24"/>
              </w:rPr>
              <w:t>ГО, що працюють з молоддю.</w:t>
            </w:r>
          </w:p>
          <w:p w:rsidR="0085677A" w:rsidRPr="00653606" w:rsidRDefault="0085677A" w:rsidP="00653606">
            <w:pPr>
              <w:spacing w:after="0" w:line="259" w:lineRule="auto"/>
              <w:ind w:left="-36"/>
              <w:contextualSpacing/>
              <w:jc w:val="center"/>
              <w:rPr>
                <w:rFonts w:ascii="Times New Roman" w:hAnsi="Times New Roman" w:cs="Times New Roman"/>
                <w:sz w:val="24"/>
                <w:szCs w:val="24"/>
              </w:rPr>
            </w:pPr>
            <w:r w:rsidRPr="00653606">
              <w:rPr>
                <w:rFonts w:ascii="Times New Roman" w:hAnsi="Times New Roman" w:cs="Times New Roman"/>
                <w:sz w:val="24"/>
                <w:szCs w:val="24"/>
              </w:rPr>
              <w:t>КУ «Центр соціальних служб» Рожищенської міської ради.</w:t>
            </w:r>
          </w:p>
        </w:tc>
        <w:tc>
          <w:tcPr>
            <w:tcW w:w="1660" w:type="dxa"/>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30,0</w:t>
            </w:r>
          </w:p>
        </w:tc>
        <w:tc>
          <w:tcPr>
            <w:tcW w:w="1701"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20,5</w:t>
            </w:r>
          </w:p>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4961" w:type="dxa"/>
          </w:tcPr>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Впродовж року для молоді було організовано наступні заходи неформальної освіти:</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7 тренінгів «Мистецтво публічного виступу» залучено 86 учасників із с. Дубище, с. Навіз, с. Сокіл, м. Рожище.</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 </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Ресурна гра «Віражі», 10 учасників;</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9 зустрічей із лідерами думок Рожищенської громади, залучено 111 учасників. </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акція «16 днів проти насильства», 20 учасників;</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симуляційна гра «Світ громад», 10 учасників;</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15 тренінгів за темою «Ідентичність, стереотипи та упередження»  </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залучено 137 учасників;</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15 тренінгів «Розуміємо конфлікт», 170 учасників;</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15 тренінгів за темою </w:t>
            </w:r>
          </w:p>
          <w:p w:rsidR="0085677A" w:rsidRPr="00653606" w:rsidRDefault="0085677A" w:rsidP="00653606">
            <w:pPr>
              <w:pStyle w:val="Default"/>
              <w:contextualSpacing/>
              <w:jc w:val="both"/>
            </w:pPr>
            <w:r w:rsidRPr="00653606">
              <w:t>«Вчимось слухати, розуміти інших та будувати діалог», 206 учасників;</w:t>
            </w:r>
          </w:p>
          <w:p w:rsidR="0085677A" w:rsidRPr="00653606" w:rsidRDefault="0085677A" w:rsidP="00653606">
            <w:pPr>
              <w:pStyle w:val="Default"/>
              <w:contextualSpacing/>
              <w:jc w:val="both"/>
            </w:pPr>
          </w:p>
          <w:p w:rsidR="0085677A" w:rsidRPr="00653606" w:rsidRDefault="0085677A" w:rsidP="00653606">
            <w:pPr>
              <w:pStyle w:val="Default"/>
              <w:contextualSpacing/>
              <w:jc w:val="both"/>
            </w:pPr>
            <w:r w:rsidRPr="00653606">
              <w:t>15 тренінгів за темою «Досліджуємо свою громаду», 167 учасників;</w:t>
            </w:r>
          </w:p>
          <w:p w:rsidR="0085677A" w:rsidRPr="00653606" w:rsidRDefault="0085677A" w:rsidP="00653606">
            <w:pPr>
              <w:pStyle w:val="Default"/>
              <w:contextualSpacing/>
              <w:jc w:val="both"/>
            </w:pPr>
            <w:r w:rsidRPr="00653606">
              <w:br/>
              <w:t>10 тренінгів з медіаграмотності «Як не піддаватися маніпуляціям» , 111 учасників;</w:t>
            </w:r>
            <w:r w:rsidRPr="00653606">
              <w:br/>
            </w:r>
            <w:r w:rsidRPr="00653606">
              <w:br/>
              <w:t>10 медіаігор</w:t>
            </w:r>
            <w:r>
              <w:t xml:space="preserve"> «Констру</w:t>
            </w:r>
            <w:r w:rsidRPr="00653606">
              <w:t>ктор квестів», 107 учасників;</w:t>
            </w:r>
          </w:p>
          <w:p w:rsidR="0085677A" w:rsidRPr="00653606" w:rsidRDefault="0085677A" w:rsidP="00653606">
            <w:pPr>
              <w:pStyle w:val="Default"/>
              <w:contextualSpacing/>
              <w:jc w:val="both"/>
            </w:pPr>
            <w:r w:rsidRPr="00653606">
              <w:br/>
              <w:t>10 антифейкових інтелектуальних ігор «НотаЄнота», 114 учасників;</w:t>
            </w:r>
          </w:p>
          <w:p w:rsidR="0085677A" w:rsidRPr="00653606" w:rsidRDefault="0085677A" w:rsidP="00653606">
            <w:pPr>
              <w:pStyle w:val="Default"/>
              <w:contextualSpacing/>
              <w:jc w:val="both"/>
            </w:pPr>
            <w:r w:rsidRPr="00653606">
              <w:br/>
              <w:t>7 зустрічей «Медіаграмотні посиденьки», 105 учасників;</w:t>
            </w:r>
          </w:p>
          <w:p w:rsidR="0085677A" w:rsidRPr="00653606" w:rsidRDefault="0085677A" w:rsidP="00653606">
            <w:pPr>
              <w:pStyle w:val="Default"/>
              <w:contextualSpacing/>
              <w:jc w:val="both"/>
            </w:pPr>
            <w:r w:rsidRPr="00653606">
              <w:br/>
              <w:t>7 тренінгів з медіаграмотності «Кібербулінг, що це таке та як його зупинити», 84 учасника;</w:t>
            </w:r>
          </w:p>
          <w:p w:rsidR="0085677A" w:rsidRPr="00653606" w:rsidRDefault="0085677A" w:rsidP="00653606">
            <w:pPr>
              <w:pStyle w:val="Default"/>
              <w:contextualSpacing/>
              <w:jc w:val="both"/>
            </w:pPr>
          </w:p>
          <w:p w:rsidR="0085677A" w:rsidRPr="00653606" w:rsidRDefault="0085677A" w:rsidP="00653606">
            <w:pPr>
              <w:pStyle w:val="Default"/>
              <w:contextualSpacing/>
              <w:jc w:val="both"/>
            </w:pPr>
            <w:r w:rsidRPr="00653606">
              <w:t>7 тренінгів з медіаграмотності «Інформаційна та кібербезпека для відвідувачів молодіжного центру», 90 учасників;</w:t>
            </w:r>
            <w:r w:rsidRPr="00653606">
              <w:br/>
            </w:r>
            <w:r w:rsidRPr="00653606">
              <w:br/>
              <w:t>9 медіаігор «FakeBusters», 105 учасників;</w:t>
            </w:r>
          </w:p>
          <w:p w:rsidR="0085677A" w:rsidRPr="00653606" w:rsidRDefault="0085677A" w:rsidP="00653606">
            <w:pPr>
              <w:pStyle w:val="Default"/>
              <w:contextualSpacing/>
              <w:jc w:val="both"/>
            </w:pPr>
          </w:p>
          <w:p w:rsidR="0085677A" w:rsidRPr="00653606" w:rsidRDefault="0085677A" w:rsidP="00653606">
            <w:pPr>
              <w:pStyle w:val="Default"/>
              <w:contextualSpacing/>
              <w:jc w:val="both"/>
            </w:pPr>
            <w:r w:rsidRPr="00653606">
              <w:t>14 групових консультацій психолога «Як підвищити самооцінку»,  155 учасників;</w:t>
            </w:r>
          </w:p>
          <w:p w:rsidR="0085677A" w:rsidRPr="00653606" w:rsidRDefault="0085677A" w:rsidP="00653606">
            <w:pPr>
              <w:pStyle w:val="Default"/>
              <w:contextualSpacing/>
              <w:jc w:val="both"/>
            </w:pPr>
          </w:p>
          <w:p w:rsidR="0085677A" w:rsidRPr="00653606" w:rsidRDefault="0085677A" w:rsidP="00653606">
            <w:pPr>
              <w:pStyle w:val="Default"/>
              <w:contextualSpacing/>
              <w:jc w:val="both"/>
            </w:pPr>
            <w:r w:rsidRPr="00653606">
              <w:t xml:space="preserve">10 групових консультацій психолога «Психоемоційна адаптація до психологічних випробувань», 137 учасників; </w:t>
            </w:r>
            <w:r w:rsidRPr="00653606">
              <w:br/>
            </w:r>
            <w:r w:rsidRPr="00653606">
              <w:br/>
              <w:t>14 тренінгів «Про  розвиток Soft skills», 151 учасник;</w:t>
            </w:r>
            <w:r w:rsidRPr="00653606">
              <w:br/>
            </w:r>
            <w:r w:rsidRPr="00653606">
              <w:br/>
              <w:t>12 тренінгів-інтенсивів «Розвиток навичок емоційного інтелекту», 148 учасників;</w:t>
            </w:r>
            <w:r w:rsidRPr="00653606">
              <w:br/>
            </w:r>
            <w:r w:rsidRPr="00653606">
              <w:br/>
              <w:t>10 арт-терапій для молоді «Управління емоціями», 116 учасників;</w:t>
            </w:r>
          </w:p>
          <w:p w:rsidR="0085677A" w:rsidRPr="00653606" w:rsidRDefault="0085677A" w:rsidP="00653606">
            <w:pPr>
              <w:pStyle w:val="Default"/>
              <w:contextualSpacing/>
              <w:jc w:val="both"/>
            </w:pPr>
          </w:p>
          <w:p w:rsidR="0085677A" w:rsidRPr="00653606" w:rsidRDefault="0085677A" w:rsidP="00653606">
            <w:pPr>
              <w:pStyle w:val="Default"/>
              <w:contextualSpacing/>
              <w:jc w:val="both"/>
            </w:pPr>
            <w:r w:rsidRPr="00653606">
              <w:t>психологічний тренінг «Типи особистостей» 23 учасника.</w:t>
            </w:r>
            <w:r w:rsidRPr="00653606">
              <w:br/>
            </w:r>
            <w:r w:rsidRPr="00653606">
              <w:br/>
              <w:t>Заходи неформальної освіти відбувалися у Носачевицькому, Переспівському, Рудко-Козинському, Топільненському та Дубищенському старостинських округах, на базі закладів освіти та культури. До співпраці залучені ГО «Споріднене тепло» та Молодіжна рада при Рожищенській міській раді.</w:t>
            </w:r>
          </w:p>
        </w:tc>
      </w:tr>
      <w:tr w:rsidR="0085677A" w:rsidRPr="00B911A7" w:rsidTr="00653606">
        <w:tc>
          <w:tcPr>
            <w:tcW w:w="430"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1805"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2409" w:type="dxa"/>
          </w:tcPr>
          <w:p w:rsidR="0085677A" w:rsidRPr="00653606" w:rsidRDefault="0085677A"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1.3 Організація та проведення заходів змістовного дозвілля у різноманітних форматах:</w:t>
            </w:r>
          </w:p>
          <w:p w:rsidR="0085677A" w:rsidRPr="00653606" w:rsidRDefault="0085677A" w:rsidP="00653606">
            <w:pPr>
              <w:numPr>
                <w:ilvl w:val="0"/>
                <w:numId w:val="1"/>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Творчі виступи;</w:t>
            </w:r>
          </w:p>
          <w:p w:rsidR="0085677A" w:rsidRPr="00653606" w:rsidRDefault="0085677A" w:rsidP="00653606">
            <w:pPr>
              <w:numPr>
                <w:ilvl w:val="0"/>
                <w:numId w:val="1"/>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Конкурси;</w:t>
            </w:r>
          </w:p>
          <w:p w:rsidR="0085677A" w:rsidRPr="00653606" w:rsidRDefault="0085677A" w:rsidP="00653606">
            <w:pPr>
              <w:numPr>
                <w:ilvl w:val="0"/>
                <w:numId w:val="1"/>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Майстер-класи;</w:t>
            </w:r>
          </w:p>
          <w:p w:rsidR="0085677A" w:rsidRPr="00653606" w:rsidRDefault="0085677A" w:rsidP="00653606">
            <w:pPr>
              <w:numPr>
                <w:ilvl w:val="0"/>
                <w:numId w:val="1"/>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Форуми;</w:t>
            </w:r>
          </w:p>
          <w:p w:rsidR="0085677A" w:rsidRPr="00653606" w:rsidRDefault="0085677A" w:rsidP="00653606">
            <w:pPr>
              <w:numPr>
                <w:ilvl w:val="0"/>
                <w:numId w:val="1"/>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Табори;</w:t>
            </w:r>
          </w:p>
          <w:p w:rsidR="0085677A" w:rsidRPr="00653606" w:rsidRDefault="0085677A" w:rsidP="00653606">
            <w:pPr>
              <w:numPr>
                <w:ilvl w:val="0"/>
                <w:numId w:val="1"/>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Турніри (спортивні, мистецькі, інтелектуальні);</w:t>
            </w:r>
          </w:p>
          <w:p w:rsidR="0085677A" w:rsidRPr="00653606" w:rsidRDefault="0085677A" w:rsidP="00653606">
            <w:pPr>
              <w:numPr>
                <w:ilvl w:val="0"/>
                <w:numId w:val="1"/>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Змагання.</w:t>
            </w:r>
          </w:p>
          <w:p w:rsidR="0085677A" w:rsidRPr="00653606" w:rsidRDefault="0085677A" w:rsidP="00653606">
            <w:pPr>
              <w:spacing w:after="0" w:line="240" w:lineRule="auto"/>
              <w:ind w:left="8"/>
              <w:contextualSpacing/>
              <w:rPr>
                <w:rFonts w:ascii="Times New Roman" w:hAnsi="Times New Roman" w:cs="Times New Roman"/>
                <w:sz w:val="24"/>
                <w:szCs w:val="24"/>
              </w:rPr>
            </w:pPr>
            <w:r w:rsidRPr="00653606">
              <w:rPr>
                <w:rFonts w:ascii="Times New Roman" w:hAnsi="Times New Roman" w:cs="Times New Roman"/>
                <w:sz w:val="24"/>
                <w:szCs w:val="24"/>
              </w:rPr>
              <w:t>В т.ч. поширення інформаційних та візуальних матеріалів про заходи.</w:t>
            </w:r>
          </w:p>
        </w:tc>
        <w:tc>
          <w:tcPr>
            <w:tcW w:w="2593" w:type="dxa"/>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 xml:space="preserve">КЗ «МЦ» Рожищенської міської ради, </w:t>
            </w:r>
          </w:p>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ГО та інші КУ, КЗ, що працюють з молоддю.</w:t>
            </w:r>
          </w:p>
        </w:tc>
        <w:tc>
          <w:tcPr>
            <w:tcW w:w="1660" w:type="dxa"/>
          </w:tcPr>
          <w:p w:rsidR="0085677A" w:rsidRPr="00653606" w:rsidRDefault="0085677A" w:rsidP="00653606">
            <w:pPr>
              <w:spacing w:after="0" w:line="259"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30,0</w:t>
            </w:r>
          </w:p>
        </w:tc>
        <w:tc>
          <w:tcPr>
            <w:tcW w:w="1701"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19,0</w:t>
            </w:r>
          </w:p>
        </w:tc>
        <w:tc>
          <w:tcPr>
            <w:tcW w:w="4961" w:type="dxa"/>
          </w:tcPr>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Впродовж року організовано наступні заходи:</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br/>
              <w:t>19 мистецьких заходів в т.ч. Арт-майстерень «Відкрий себе», 251 учасник;</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 </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майстер-клас із розпису писанок, 32 учасника;</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br/>
              <w:t>30 кінопереглядів в т.ч. під відкритим небом, 512 учасників;</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благодійний захід «Еко-сумка за донат», 50 учасників;</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br/>
              <w:t>4 велопробігів «Пізнай свою громаду», 45 учасників;</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br/>
              <w:t xml:space="preserve"> 6 екологічних толок в межах громади                (м. Рожище, с. Переспа, с. Сокіл, оз. Чебені, с. Крижівка), 71 учасник;</w:t>
            </w:r>
            <w:r w:rsidRPr="00653606">
              <w:rPr>
                <w:rFonts w:ascii="Times New Roman" w:hAnsi="Times New Roman" w:cs="Times New Roman"/>
                <w:sz w:val="24"/>
                <w:szCs w:val="24"/>
              </w:rPr>
              <w:br/>
            </w:r>
            <w:r w:rsidRPr="00653606">
              <w:rPr>
                <w:rFonts w:ascii="Times New Roman" w:hAnsi="Times New Roman" w:cs="Times New Roman"/>
                <w:sz w:val="24"/>
                <w:szCs w:val="24"/>
              </w:rPr>
              <w:br/>
              <w:t>соціальний вечір танцювального мистецтва, 25 учасників;</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турнір </w:t>
            </w:r>
            <w:r w:rsidRPr="00653606">
              <w:rPr>
                <w:rFonts w:ascii="Times New Roman" w:hAnsi="Times New Roman" w:cs="Times New Roman"/>
                <w:sz w:val="24"/>
                <w:szCs w:val="24"/>
                <w:lang w:val="en-US"/>
              </w:rPr>
              <w:t>CS</w:t>
            </w:r>
            <w:r w:rsidRPr="00653606">
              <w:rPr>
                <w:rFonts w:ascii="Times New Roman" w:hAnsi="Times New Roman" w:cs="Times New Roman"/>
                <w:sz w:val="24"/>
                <w:szCs w:val="24"/>
              </w:rPr>
              <w:t xml:space="preserve">: </w:t>
            </w:r>
            <w:r w:rsidRPr="00653606">
              <w:rPr>
                <w:rFonts w:ascii="Times New Roman" w:hAnsi="Times New Roman" w:cs="Times New Roman"/>
                <w:sz w:val="24"/>
                <w:szCs w:val="24"/>
                <w:lang w:val="en-US"/>
              </w:rPr>
              <w:t>GO</w:t>
            </w:r>
            <w:r w:rsidRPr="00653606">
              <w:rPr>
                <w:rFonts w:ascii="Times New Roman" w:hAnsi="Times New Roman" w:cs="Times New Roman"/>
                <w:sz w:val="24"/>
                <w:szCs w:val="24"/>
              </w:rPr>
              <w:t>, 35 учасників.</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lang w:val="ru-RU"/>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квартирник «Миті простору» 15 учасників;</w:t>
            </w:r>
          </w:p>
          <w:p w:rsidR="0085677A"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br/>
              <w:t>всесвітній день прибирання 17 учасників.</w:t>
            </w:r>
            <w:r w:rsidRPr="00653606">
              <w:rPr>
                <w:rFonts w:ascii="Times New Roman" w:hAnsi="Times New Roman" w:cs="Times New Roman"/>
                <w:sz w:val="24"/>
                <w:szCs w:val="24"/>
              </w:rPr>
              <w:br/>
            </w:r>
            <w:r w:rsidRPr="00653606">
              <w:rPr>
                <w:rFonts w:ascii="Times New Roman" w:hAnsi="Times New Roman" w:cs="Times New Roman"/>
                <w:sz w:val="24"/>
                <w:szCs w:val="24"/>
              </w:rPr>
              <w:br/>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tc>
      </w:tr>
      <w:tr w:rsidR="0085677A" w:rsidRPr="00B911A7" w:rsidTr="00653606">
        <w:tc>
          <w:tcPr>
            <w:tcW w:w="430"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1805"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2409" w:type="dxa"/>
          </w:tcPr>
          <w:p w:rsidR="0085677A" w:rsidRPr="00653606" w:rsidRDefault="0085677A"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1.4 Запровадження заходів та організація роботи щодо залучення молоді до процесу ухвалення рішень:</w:t>
            </w:r>
          </w:p>
          <w:p w:rsidR="0085677A" w:rsidRPr="00653606" w:rsidRDefault="0085677A" w:rsidP="00653606">
            <w:pPr>
              <w:numPr>
                <w:ilvl w:val="0"/>
                <w:numId w:val="2"/>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підтримка молодіжних рад.</w:t>
            </w:r>
          </w:p>
          <w:p w:rsidR="0085677A" w:rsidRPr="00653606" w:rsidRDefault="0085677A" w:rsidP="00653606">
            <w:pPr>
              <w:numPr>
                <w:ilvl w:val="0"/>
                <w:numId w:val="2"/>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органів учнівського самоврядування.</w:t>
            </w:r>
          </w:p>
          <w:p w:rsidR="0085677A" w:rsidRPr="00653606" w:rsidRDefault="0085677A" w:rsidP="00653606">
            <w:pPr>
              <w:numPr>
                <w:ilvl w:val="0"/>
                <w:numId w:val="2"/>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органів студентського самоврядування.</w:t>
            </w:r>
          </w:p>
          <w:p w:rsidR="0085677A" w:rsidRPr="00653606" w:rsidRDefault="0085677A" w:rsidP="00653606">
            <w:pPr>
              <w:numPr>
                <w:ilvl w:val="0"/>
                <w:numId w:val="2"/>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стажування молоді в органах влади.</w:t>
            </w:r>
          </w:p>
          <w:p w:rsidR="0085677A" w:rsidRPr="00653606" w:rsidRDefault="0085677A" w:rsidP="00516085">
            <w:pPr>
              <w:tabs>
                <w:tab w:val="left" w:pos="433"/>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В т.ч. поширення; інформаційних та візуальних матеріалів про заходи.</w:t>
            </w:r>
          </w:p>
        </w:tc>
        <w:tc>
          <w:tcPr>
            <w:tcW w:w="2593" w:type="dxa"/>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КЗ «МЦ» Рожищенської міської ради;</w:t>
            </w:r>
          </w:p>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ГО, що працюють з молоддю.</w:t>
            </w:r>
          </w:p>
        </w:tc>
        <w:tc>
          <w:tcPr>
            <w:tcW w:w="1660" w:type="dxa"/>
          </w:tcPr>
          <w:p w:rsidR="0085677A" w:rsidRPr="00653606" w:rsidRDefault="0085677A" w:rsidP="00653606">
            <w:pPr>
              <w:spacing w:after="0" w:line="259"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10,0</w:t>
            </w:r>
          </w:p>
        </w:tc>
        <w:tc>
          <w:tcPr>
            <w:tcW w:w="1701"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10,0</w:t>
            </w:r>
          </w:p>
        </w:tc>
        <w:tc>
          <w:tcPr>
            <w:tcW w:w="4961" w:type="dxa"/>
          </w:tcPr>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В продовж року відбувалися заходи, щодо обміну досвідом між молодіжними радами та центрами, просторами Володимирської, Підгайцівської та Рожищенської громад.  До участі залучено близько 90 осіб із різних громад. </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br/>
              <w:t xml:space="preserve">В січні відбувся захід річного планування роботи КДО Молодіжної ради при Рожищенській міській раді. Залучено 17 учасників - членів ради. </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27 жовтня 2024 року Молодіжна рада проводила Стратегічну сесію для членів із метою довгострокової розробки стратегії діяльності органу до кінця поточної каденції.  До участі залучено 22 особи. </w:t>
            </w:r>
          </w:p>
        </w:tc>
      </w:tr>
      <w:tr w:rsidR="0085677A" w:rsidRPr="00B911A7" w:rsidTr="00653606">
        <w:tc>
          <w:tcPr>
            <w:tcW w:w="430" w:type="dxa"/>
          </w:tcPr>
          <w:p w:rsidR="0085677A" w:rsidRPr="00653606" w:rsidRDefault="0085677A"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2.</w:t>
            </w:r>
          </w:p>
        </w:tc>
        <w:tc>
          <w:tcPr>
            <w:tcW w:w="1805" w:type="dxa"/>
          </w:tcPr>
          <w:p w:rsidR="0085677A" w:rsidRPr="00653606" w:rsidRDefault="0085677A"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Розвиток компетент-ностей та підвищення спроможності молоді</w:t>
            </w:r>
          </w:p>
        </w:tc>
        <w:tc>
          <w:tcPr>
            <w:tcW w:w="2409" w:type="dxa"/>
          </w:tcPr>
          <w:p w:rsidR="0085677A" w:rsidRPr="00653606" w:rsidRDefault="0085677A"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2.1 Організація заходів з формування у молоді розуміння потреби навчання впродовж усього життя та її особистісного та професійного розвитку, отримання відповідних компетентностей. Тренінги:</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Фінансова грамотність для всіх;</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Як правильно поводитись з кредитами;</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Як бути успішним керівником;</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xml:space="preserve">- Менеджмент в підприємництві. </w:t>
            </w:r>
          </w:p>
          <w:p w:rsidR="0085677A" w:rsidRPr="00653606" w:rsidRDefault="0085677A"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В т. ч. поширення; інформаційних та візуальних матеріалів про заходи</w:t>
            </w:r>
          </w:p>
        </w:tc>
        <w:tc>
          <w:tcPr>
            <w:tcW w:w="2593" w:type="dxa"/>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КЗ «МЦ» Рожищенської міської ради;</w:t>
            </w:r>
          </w:p>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ГО, що працюють з молоддю.</w:t>
            </w:r>
          </w:p>
        </w:tc>
        <w:tc>
          <w:tcPr>
            <w:tcW w:w="1660" w:type="dxa"/>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20,0</w:t>
            </w:r>
          </w:p>
        </w:tc>
        <w:tc>
          <w:tcPr>
            <w:tcW w:w="1701"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4,5</w:t>
            </w:r>
          </w:p>
        </w:tc>
        <w:tc>
          <w:tcPr>
            <w:tcW w:w="4961" w:type="dxa"/>
          </w:tcPr>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В січні 2024 року проведено ознайомчу зустріч для молоді на тему «ФОП та його особливості». Запрошений представник Рожищенського центру зайнятості провів інформаційну співбесіду щодо діяльності фізичних осіб підприємців, його переваг та можливостей для законної діяльності. До заходу залучено 11 учасників. </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В травні 2024 року організовано гру «Грошовий потік» для молоді. В процесі заходу у симуляційному форматі відбулося навчання щодо фін</w:t>
            </w:r>
            <w:r>
              <w:rPr>
                <w:rFonts w:ascii="Times New Roman" w:hAnsi="Times New Roman" w:cs="Times New Roman"/>
                <w:sz w:val="24"/>
                <w:szCs w:val="24"/>
              </w:rPr>
              <w:t>ан</w:t>
            </w:r>
            <w:r w:rsidRPr="00653606">
              <w:rPr>
                <w:rFonts w:ascii="Times New Roman" w:hAnsi="Times New Roman" w:cs="Times New Roman"/>
                <w:sz w:val="24"/>
                <w:szCs w:val="24"/>
              </w:rPr>
              <w:t xml:space="preserve">сової грамотності учасників, підкреслено важливість інвестування та фінансової подушки. До заходу залучено 12 учасників. </w:t>
            </w:r>
          </w:p>
        </w:tc>
      </w:tr>
      <w:tr w:rsidR="0085677A" w:rsidRPr="00B911A7" w:rsidTr="00653606">
        <w:tc>
          <w:tcPr>
            <w:tcW w:w="430"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1805"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2409" w:type="dxa"/>
          </w:tcPr>
          <w:p w:rsidR="0085677A" w:rsidRPr="00653606" w:rsidRDefault="0085677A" w:rsidP="00653606">
            <w:pPr>
              <w:spacing w:after="0" w:line="240" w:lineRule="auto"/>
              <w:contextualSpacing/>
              <w:rPr>
                <w:rFonts w:ascii="Times New Roman" w:hAnsi="Times New Roman" w:cs="Times New Roman"/>
                <w:i/>
                <w:sz w:val="24"/>
                <w:szCs w:val="24"/>
              </w:rPr>
            </w:pPr>
            <w:r w:rsidRPr="00653606">
              <w:rPr>
                <w:rFonts w:ascii="Times New Roman" w:hAnsi="Times New Roman" w:cs="Times New Roman"/>
                <w:sz w:val="24"/>
                <w:szCs w:val="24"/>
              </w:rPr>
              <w:t xml:space="preserve">2.2 Проведення заходів для молоді спрямованих на розвиток навичок працевлаштування та підвищення конкурентоспроможності молоді на ринку праці, розвиток підприємницьких ініціатив серед молоді. </w:t>
            </w:r>
          </w:p>
          <w:p w:rsidR="0085677A" w:rsidRPr="00653606" w:rsidRDefault="0085677A" w:rsidP="00653606">
            <w:pPr>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Ознайомчі екскурсії по підприємствах;</w:t>
            </w:r>
          </w:p>
          <w:p w:rsidR="0085677A" w:rsidRPr="00653606" w:rsidRDefault="0085677A" w:rsidP="00653606">
            <w:pPr>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Майстер класи по професійній діяльності від працівників місцевих підприємств та спеціалізованих тренерів;</w:t>
            </w:r>
          </w:p>
          <w:p w:rsidR="0085677A" w:rsidRPr="00653606" w:rsidRDefault="0085677A" w:rsidP="00653606">
            <w:pPr>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Профорієнтаційні заходи спрямовані на визначення молодими людьми майбутньої професії;</w:t>
            </w:r>
          </w:p>
          <w:p w:rsidR="0085677A" w:rsidRPr="00653606" w:rsidRDefault="0085677A" w:rsidP="00653606">
            <w:pPr>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Ознайомчі лекції з обліку та аудитування для молодих підприємницьких ініціатив. В т. ч. поширення інформаційних та візуальних матеріалів про заходи.</w:t>
            </w:r>
          </w:p>
          <w:p w:rsidR="0085677A" w:rsidRPr="00653606" w:rsidRDefault="0085677A" w:rsidP="00653606">
            <w:pPr>
              <w:spacing w:after="0" w:line="240" w:lineRule="auto"/>
              <w:ind w:left="291"/>
              <w:contextualSpacing/>
              <w:rPr>
                <w:rFonts w:ascii="Times New Roman" w:hAnsi="Times New Roman" w:cs="Times New Roman"/>
                <w:sz w:val="24"/>
                <w:szCs w:val="24"/>
              </w:rPr>
            </w:pPr>
          </w:p>
        </w:tc>
        <w:tc>
          <w:tcPr>
            <w:tcW w:w="2593" w:type="dxa"/>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КЗ «МЦ» Рожищенської міської ради;</w:t>
            </w:r>
          </w:p>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Громадські організації що працюють з молоддю.</w:t>
            </w:r>
          </w:p>
        </w:tc>
        <w:tc>
          <w:tcPr>
            <w:tcW w:w="1660" w:type="dxa"/>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10,0</w:t>
            </w:r>
          </w:p>
        </w:tc>
        <w:tc>
          <w:tcPr>
            <w:tcW w:w="1701"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0,0</w:t>
            </w:r>
          </w:p>
        </w:tc>
        <w:tc>
          <w:tcPr>
            <w:tcW w:w="4961" w:type="dxa"/>
          </w:tcPr>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Протягом 2024 року проведено наступні заходи:</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14 групових консультацій з кар’єрного консультування «Ринок праці», 146 учасників;</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bCs/>
                <w:sz w:val="24"/>
                <w:szCs w:val="24"/>
              </w:rPr>
            </w:pPr>
            <w:r w:rsidRPr="00653606">
              <w:rPr>
                <w:rFonts w:ascii="Times New Roman" w:hAnsi="Times New Roman" w:cs="Times New Roman"/>
                <w:sz w:val="24"/>
                <w:szCs w:val="24"/>
              </w:rPr>
              <w:t xml:space="preserve">14 </w:t>
            </w:r>
            <w:r w:rsidRPr="00653606">
              <w:rPr>
                <w:rFonts w:ascii="Times New Roman" w:hAnsi="Times New Roman" w:cs="Times New Roman"/>
                <w:bCs/>
                <w:sz w:val="24"/>
                <w:szCs w:val="24"/>
              </w:rPr>
              <w:t>групових консультацій з кар’єрного консультування «Профорієнтація для молоді», 145 учасників;</w:t>
            </w:r>
            <w:r w:rsidRPr="00653606">
              <w:rPr>
                <w:rFonts w:ascii="Times New Roman" w:hAnsi="Times New Roman" w:cs="Times New Roman"/>
                <w:bCs/>
                <w:sz w:val="24"/>
                <w:szCs w:val="24"/>
              </w:rPr>
              <w:br/>
            </w:r>
            <w:r w:rsidRPr="00653606">
              <w:rPr>
                <w:rFonts w:ascii="Times New Roman" w:hAnsi="Times New Roman" w:cs="Times New Roman"/>
                <w:bCs/>
                <w:sz w:val="24"/>
                <w:szCs w:val="24"/>
              </w:rPr>
              <w:br/>
              <w:t>15 зустрічей у форматі “Жива бібліотека” для зустрічі з представниками (-цями) різних спеціальностей для розширення кругозору молоді та практичного розуміння професій, що цікавить молодь «Ярмарок професій» (</w:t>
            </w:r>
            <w:r w:rsidRPr="00653606">
              <w:rPr>
                <w:rFonts w:ascii="Times New Roman" w:hAnsi="Times New Roman" w:cs="Times New Roman"/>
                <w:bCs/>
                <w:sz w:val="24"/>
                <w:szCs w:val="24"/>
                <w:lang w:val="en-US"/>
              </w:rPr>
              <w:t>HR</w:t>
            </w:r>
            <w:r w:rsidRPr="00653606">
              <w:rPr>
                <w:rFonts w:ascii="Times New Roman" w:hAnsi="Times New Roman" w:cs="Times New Roman"/>
                <w:bCs/>
                <w:sz w:val="24"/>
                <w:szCs w:val="24"/>
              </w:rPr>
              <w:t>-менеджер, маркетолог, комунікаційник із поліції, приватний підприємець, представник ГО, рієлтор), 267 учасників;</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bCs/>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bCs/>
                <w:sz w:val="24"/>
                <w:szCs w:val="24"/>
              </w:rPr>
            </w:pPr>
            <w:r w:rsidRPr="00653606">
              <w:rPr>
                <w:rFonts w:ascii="Times New Roman" w:hAnsi="Times New Roman" w:cs="Times New Roman"/>
                <w:bCs/>
                <w:sz w:val="24"/>
                <w:szCs w:val="24"/>
              </w:rPr>
              <w:t>7 тренінгів «Джерела пошуку роботи», 95 учасників;</w:t>
            </w:r>
            <w:r w:rsidRPr="00653606">
              <w:rPr>
                <w:rFonts w:ascii="Times New Roman" w:hAnsi="Times New Roman" w:cs="Times New Roman"/>
                <w:bCs/>
                <w:sz w:val="24"/>
                <w:szCs w:val="24"/>
              </w:rPr>
              <w:br/>
            </w:r>
            <w:r w:rsidRPr="00653606">
              <w:rPr>
                <w:rFonts w:ascii="Times New Roman" w:hAnsi="Times New Roman" w:cs="Times New Roman"/>
                <w:bCs/>
                <w:sz w:val="24"/>
                <w:szCs w:val="24"/>
              </w:rPr>
              <w:br/>
              <w:t>10 тренінгів «Як успішно пройти співбесіду з працедавцем», 107 учасників.</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bCs/>
                <w:sz w:val="24"/>
                <w:szCs w:val="24"/>
              </w:rPr>
              <w:br/>
              <w:t xml:space="preserve">Заходи кар’єрного консультування та профорієнтації відбувалися на базі молодіжного центру та у тісній співпраці із закладами освіти громади, в т.ч. із фаховим ветеринарним коледжом. </w:t>
            </w:r>
            <w:r w:rsidRPr="00653606">
              <w:rPr>
                <w:rFonts w:ascii="Times New Roman" w:hAnsi="Times New Roman" w:cs="Times New Roman"/>
                <w:bCs/>
                <w:sz w:val="24"/>
                <w:szCs w:val="24"/>
              </w:rPr>
              <w:br/>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pStyle w:val="Default"/>
              <w:contextualSpacing/>
              <w:jc w:val="both"/>
              <w:rPr>
                <w:color w:val="auto"/>
              </w:rPr>
            </w:pPr>
          </w:p>
          <w:p w:rsidR="0085677A" w:rsidRPr="00653606" w:rsidRDefault="0085677A" w:rsidP="00653606">
            <w:pPr>
              <w:pStyle w:val="Default"/>
              <w:contextualSpacing/>
              <w:jc w:val="both"/>
            </w:pPr>
          </w:p>
        </w:tc>
      </w:tr>
      <w:tr w:rsidR="0085677A" w:rsidRPr="00B911A7" w:rsidTr="00653606">
        <w:tc>
          <w:tcPr>
            <w:tcW w:w="430" w:type="dxa"/>
          </w:tcPr>
          <w:p w:rsidR="0085677A" w:rsidRPr="00653606" w:rsidRDefault="0085677A"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3.</w:t>
            </w:r>
          </w:p>
        </w:tc>
        <w:tc>
          <w:tcPr>
            <w:tcW w:w="1805" w:type="dxa"/>
          </w:tcPr>
          <w:p w:rsidR="0085677A" w:rsidRPr="00653606" w:rsidRDefault="0085677A"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Національно-патріотичне виховання дітей та молоді</w:t>
            </w:r>
          </w:p>
        </w:tc>
        <w:tc>
          <w:tcPr>
            <w:tcW w:w="2409" w:type="dxa"/>
          </w:tcPr>
          <w:p w:rsidR="0085677A" w:rsidRPr="00653606" w:rsidRDefault="0085677A"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3.1 Формування української громадянської ідентичності</w:t>
            </w:r>
          </w:p>
          <w:p w:rsidR="0085677A" w:rsidRPr="00653606" w:rsidRDefault="0085677A" w:rsidP="00653606">
            <w:pPr>
              <w:spacing w:after="0" w:line="240" w:lineRule="auto"/>
              <w:ind w:left="291" w:firstLine="8"/>
              <w:contextualSpacing/>
              <w:rPr>
                <w:rFonts w:ascii="Times New Roman" w:hAnsi="Times New Roman" w:cs="Times New Roman"/>
                <w:sz w:val="24"/>
                <w:szCs w:val="24"/>
              </w:rPr>
            </w:pPr>
            <w:r w:rsidRPr="00653606">
              <w:rPr>
                <w:rFonts w:ascii="Times New Roman" w:hAnsi="Times New Roman" w:cs="Times New Roman"/>
                <w:sz w:val="24"/>
                <w:szCs w:val="24"/>
              </w:rPr>
              <w:t>- ігри;</w:t>
            </w:r>
          </w:p>
          <w:p w:rsidR="0085677A" w:rsidRPr="00653606" w:rsidRDefault="0085677A" w:rsidP="00653606">
            <w:pPr>
              <w:spacing w:after="0" w:line="240" w:lineRule="auto"/>
              <w:ind w:left="291" w:firstLine="8"/>
              <w:contextualSpacing/>
              <w:rPr>
                <w:rFonts w:ascii="Times New Roman" w:hAnsi="Times New Roman" w:cs="Times New Roman"/>
                <w:sz w:val="24"/>
                <w:szCs w:val="24"/>
              </w:rPr>
            </w:pPr>
            <w:r w:rsidRPr="00653606">
              <w:rPr>
                <w:rFonts w:ascii="Times New Roman" w:hAnsi="Times New Roman" w:cs="Times New Roman"/>
                <w:sz w:val="24"/>
                <w:szCs w:val="24"/>
              </w:rPr>
              <w:t>- вишкіл;</w:t>
            </w:r>
          </w:p>
          <w:p w:rsidR="0085677A" w:rsidRPr="00653606" w:rsidRDefault="0085677A" w:rsidP="00653606">
            <w:pPr>
              <w:spacing w:after="0" w:line="240" w:lineRule="auto"/>
              <w:ind w:left="291" w:firstLine="8"/>
              <w:contextualSpacing/>
              <w:rPr>
                <w:rFonts w:ascii="Times New Roman" w:hAnsi="Times New Roman" w:cs="Times New Roman"/>
                <w:sz w:val="24"/>
                <w:szCs w:val="24"/>
              </w:rPr>
            </w:pPr>
            <w:r w:rsidRPr="00653606">
              <w:rPr>
                <w:rFonts w:ascii="Times New Roman" w:hAnsi="Times New Roman" w:cs="Times New Roman"/>
                <w:sz w:val="24"/>
                <w:szCs w:val="24"/>
              </w:rPr>
              <w:t>- збори;</w:t>
            </w:r>
          </w:p>
          <w:p w:rsidR="0085677A" w:rsidRPr="00653606" w:rsidRDefault="0085677A" w:rsidP="00653606">
            <w:pPr>
              <w:spacing w:after="0" w:line="240" w:lineRule="auto"/>
              <w:ind w:left="291" w:firstLine="8"/>
              <w:contextualSpacing/>
              <w:rPr>
                <w:rFonts w:ascii="Times New Roman" w:hAnsi="Times New Roman" w:cs="Times New Roman"/>
                <w:sz w:val="24"/>
                <w:szCs w:val="24"/>
              </w:rPr>
            </w:pPr>
            <w:r w:rsidRPr="00653606">
              <w:rPr>
                <w:rFonts w:ascii="Times New Roman" w:hAnsi="Times New Roman" w:cs="Times New Roman"/>
                <w:sz w:val="24"/>
                <w:szCs w:val="24"/>
              </w:rPr>
              <w:t>- теренові ігри;</w:t>
            </w:r>
          </w:p>
          <w:p w:rsidR="0085677A" w:rsidRPr="00653606" w:rsidRDefault="0085677A" w:rsidP="00653606">
            <w:pPr>
              <w:spacing w:after="0" w:line="240" w:lineRule="auto"/>
              <w:ind w:left="291" w:firstLine="8"/>
              <w:contextualSpacing/>
              <w:rPr>
                <w:rFonts w:ascii="Times New Roman" w:hAnsi="Times New Roman" w:cs="Times New Roman"/>
                <w:sz w:val="24"/>
                <w:szCs w:val="24"/>
              </w:rPr>
            </w:pPr>
            <w:r w:rsidRPr="00653606">
              <w:rPr>
                <w:rFonts w:ascii="Times New Roman" w:hAnsi="Times New Roman" w:cs="Times New Roman"/>
                <w:sz w:val="24"/>
                <w:szCs w:val="24"/>
              </w:rPr>
              <w:t>- зльоти;</w:t>
            </w:r>
          </w:p>
          <w:p w:rsidR="0085677A" w:rsidRPr="00653606" w:rsidRDefault="0085677A" w:rsidP="00653606">
            <w:pPr>
              <w:spacing w:after="0" w:line="240" w:lineRule="auto"/>
              <w:ind w:left="8" w:firstLine="8"/>
              <w:contextualSpacing/>
              <w:rPr>
                <w:rFonts w:ascii="Times New Roman" w:hAnsi="Times New Roman" w:cs="Times New Roman"/>
                <w:sz w:val="24"/>
                <w:szCs w:val="24"/>
              </w:rPr>
            </w:pPr>
            <w:r w:rsidRPr="00653606">
              <w:rPr>
                <w:rFonts w:ascii="Times New Roman" w:hAnsi="Times New Roman" w:cs="Times New Roman"/>
                <w:sz w:val="24"/>
                <w:szCs w:val="24"/>
              </w:rPr>
              <w:t>- поширення; інформаційних та візуальних матеріалів.    В т.ч. поширення інформаційних та візуальних матеріалів про заходи.</w:t>
            </w:r>
          </w:p>
        </w:tc>
        <w:tc>
          <w:tcPr>
            <w:tcW w:w="2593" w:type="dxa"/>
          </w:tcPr>
          <w:p w:rsidR="0085677A" w:rsidRPr="00653606" w:rsidRDefault="0085677A" w:rsidP="00653606">
            <w:pPr>
              <w:spacing w:after="0" w:line="259"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Гуманітарний відділ Рожищенської міської ради;</w:t>
            </w:r>
          </w:p>
          <w:p w:rsidR="0085677A" w:rsidRPr="00653606" w:rsidRDefault="0085677A" w:rsidP="00653606">
            <w:pPr>
              <w:spacing w:after="0" w:line="259" w:lineRule="auto"/>
              <w:ind w:left="-90"/>
              <w:contextualSpacing/>
              <w:rPr>
                <w:rFonts w:ascii="Times New Roman" w:hAnsi="Times New Roman" w:cs="Times New Roman"/>
                <w:sz w:val="24"/>
                <w:szCs w:val="24"/>
              </w:rPr>
            </w:pPr>
          </w:p>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КЗ «МЦ» Рожищенської міської ради;</w:t>
            </w:r>
          </w:p>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ГО, що працюють з молоддю.</w:t>
            </w:r>
          </w:p>
        </w:tc>
        <w:tc>
          <w:tcPr>
            <w:tcW w:w="1660" w:type="dxa"/>
          </w:tcPr>
          <w:p w:rsidR="0085677A" w:rsidRPr="00653606" w:rsidRDefault="0085677A"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10,0</w:t>
            </w:r>
          </w:p>
        </w:tc>
        <w:tc>
          <w:tcPr>
            <w:tcW w:w="1701"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0,0</w:t>
            </w:r>
          </w:p>
        </w:tc>
        <w:tc>
          <w:tcPr>
            <w:tcW w:w="4961" w:type="dxa"/>
          </w:tcPr>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Впродовж 2024 року відбулося 5 патріотичних квестів «Пізнай свою громаду» у населених пунктах Літогоща, Топільне, Сокіл, Переспа, Козин.</w:t>
            </w: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p>
          <w:p w:rsidR="0085677A" w:rsidRPr="00653606" w:rsidRDefault="0085677A"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У с. Козин до Дня Незалежності було підготовлено патріотичний велопробіг та квест. До участі залучено близько 17 учасників.  </w:t>
            </w:r>
            <w:r w:rsidRPr="00653606">
              <w:rPr>
                <w:rFonts w:ascii="Times New Roman" w:hAnsi="Times New Roman" w:cs="Times New Roman"/>
                <w:sz w:val="24"/>
                <w:szCs w:val="24"/>
              </w:rPr>
              <w:br/>
            </w:r>
            <w:r w:rsidRPr="00653606">
              <w:rPr>
                <w:rFonts w:ascii="Times New Roman" w:hAnsi="Times New Roman" w:cs="Times New Roman"/>
                <w:sz w:val="24"/>
                <w:szCs w:val="24"/>
              </w:rPr>
              <w:br/>
              <w:t xml:space="preserve">У грудні 2024 року було організовано п’яти годинний тренінг (майстер-клас) із тактичної медицини. Запрошений військовий розповів про систему накладання джгутів на верхні та нижні кінцівки, також про дії під час евакуації постраждалих у екстрених ситуаціях. Подія налічувала 10 учасників. </w:t>
            </w:r>
          </w:p>
        </w:tc>
      </w:tr>
      <w:tr w:rsidR="0085677A" w:rsidRPr="00B911A7" w:rsidTr="00653606">
        <w:tc>
          <w:tcPr>
            <w:tcW w:w="430" w:type="dxa"/>
          </w:tcPr>
          <w:p w:rsidR="0085677A" w:rsidRPr="00653606" w:rsidRDefault="0085677A" w:rsidP="00653606">
            <w:pPr>
              <w:spacing w:after="0" w:line="240" w:lineRule="auto"/>
              <w:contextualSpacing/>
              <w:rPr>
                <w:rFonts w:ascii="Times New Roman" w:hAnsi="Times New Roman" w:cs="Times New Roman"/>
                <w:sz w:val="24"/>
                <w:szCs w:val="24"/>
              </w:rPr>
            </w:pPr>
          </w:p>
        </w:tc>
        <w:tc>
          <w:tcPr>
            <w:tcW w:w="6807" w:type="dxa"/>
            <w:gridSpan w:val="3"/>
          </w:tcPr>
          <w:p w:rsidR="0085677A" w:rsidRPr="00653606" w:rsidRDefault="0085677A" w:rsidP="00653606">
            <w:pPr>
              <w:spacing w:after="0" w:line="259" w:lineRule="auto"/>
              <w:contextualSpacing/>
              <w:rPr>
                <w:rFonts w:ascii="Times New Roman" w:hAnsi="Times New Roman" w:cs="Times New Roman"/>
                <w:b/>
                <w:sz w:val="24"/>
                <w:szCs w:val="24"/>
              </w:rPr>
            </w:pPr>
            <w:r w:rsidRPr="00653606">
              <w:rPr>
                <w:rFonts w:ascii="Times New Roman" w:hAnsi="Times New Roman" w:cs="Times New Roman"/>
                <w:b/>
                <w:sz w:val="24"/>
                <w:szCs w:val="24"/>
              </w:rPr>
              <w:t>Всього за Програмою:</w:t>
            </w:r>
          </w:p>
        </w:tc>
        <w:tc>
          <w:tcPr>
            <w:tcW w:w="1660" w:type="dxa"/>
          </w:tcPr>
          <w:p w:rsidR="0085677A" w:rsidRPr="00653606" w:rsidRDefault="0085677A" w:rsidP="00653606">
            <w:pPr>
              <w:spacing w:after="0" w:line="259" w:lineRule="auto"/>
              <w:ind w:left="-90"/>
              <w:contextualSpacing/>
              <w:jc w:val="center"/>
              <w:rPr>
                <w:rFonts w:ascii="Times New Roman" w:hAnsi="Times New Roman" w:cs="Times New Roman"/>
                <w:b/>
                <w:sz w:val="24"/>
                <w:szCs w:val="24"/>
              </w:rPr>
            </w:pPr>
            <w:r w:rsidRPr="00653606">
              <w:rPr>
                <w:rFonts w:ascii="Times New Roman" w:hAnsi="Times New Roman" w:cs="Times New Roman"/>
                <w:b/>
                <w:sz w:val="24"/>
                <w:szCs w:val="24"/>
              </w:rPr>
              <w:t>160,0</w:t>
            </w:r>
          </w:p>
        </w:tc>
        <w:tc>
          <w:tcPr>
            <w:tcW w:w="1701" w:type="dxa"/>
          </w:tcPr>
          <w:p w:rsidR="0085677A" w:rsidRPr="00653606" w:rsidRDefault="0085677A" w:rsidP="00653606">
            <w:pPr>
              <w:widowControl w:val="0"/>
              <w:tabs>
                <w:tab w:val="left" w:pos="709"/>
              </w:tabs>
              <w:spacing w:after="0" w:line="240" w:lineRule="auto"/>
              <w:contextualSpacing/>
              <w:jc w:val="center"/>
              <w:rPr>
                <w:rFonts w:ascii="Times New Roman" w:hAnsi="Times New Roman" w:cs="Times New Roman"/>
                <w:b/>
                <w:sz w:val="24"/>
                <w:szCs w:val="24"/>
              </w:rPr>
            </w:pPr>
            <w:r w:rsidRPr="00653606">
              <w:rPr>
                <w:rFonts w:ascii="Times New Roman" w:hAnsi="Times New Roman" w:cs="Times New Roman"/>
                <w:b/>
                <w:sz w:val="24"/>
                <w:szCs w:val="24"/>
              </w:rPr>
              <w:t>113,5</w:t>
            </w:r>
          </w:p>
        </w:tc>
        <w:tc>
          <w:tcPr>
            <w:tcW w:w="4961" w:type="dxa"/>
          </w:tcPr>
          <w:p w:rsidR="0085677A" w:rsidRPr="00653606" w:rsidRDefault="0085677A" w:rsidP="00653606">
            <w:pPr>
              <w:widowControl w:val="0"/>
              <w:tabs>
                <w:tab w:val="left" w:pos="709"/>
              </w:tabs>
              <w:spacing w:after="0" w:line="240" w:lineRule="auto"/>
              <w:contextualSpacing/>
              <w:rPr>
                <w:rFonts w:ascii="Times New Roman" w:hAnsi="Times New Roman" w:cs="Times New Roman"/>
                <w:sz w:val="24"/>
                <w:szCs w:val="24"/>
              </w:rPr>
            </w:pPr>
          </w:p>
        </w:tc>
      </w:tr>
    </w:tbl>
    <w:p w:rsidR="0085677A" w:rsidRPr="00B911A7" w:rsidRDefault="0085677A" w:rsidP="008D6FBD">
      <w:pPr>
        <w:widowControl w:val="0"/>
        <w:tabs>
          <w:tab w:val="left" w:pos="709"/>
        </w:tabs>
        <w:spacing w:after="0" w:line="240" w:lineRule="auto"/>
        <w:ind w:firstLine="760"/>
        <w:contextualSpacing/>
        <w:jc w:val="center"/>
        <w:rPr>
          <w:rFonts w:ascii="Times New Roman" w:hAnsi="Times New Roman" w:cs="Times New Roman"/>
          <w:sz w:val="24"/>
          <w:szCs w:val="24"/>
        </w:rPr>
      </w:pPr>
    </w:p>
    <w:p w:rsidR="0085677A" w:rsidRPr="00B911A7" w:rsidRDefault="0085677A" w:rsidP="008D6FBD">
      <w:pPr>
        <w:spacing w:after="0"/>
        <w:contextualSpacing/>
        <w:jc w:val="center"/>
        <w:rPr>
          <w:sz w:val="24"/>
          <w:szCs w:val="24"/>
        </w:rPr>
      </w:pPr>
    </w:p>
    <w:sectPr w:rsidR="0085677A" w:rsidRPr="00B911A7" w:rsidSect="00516085">
      <w:pgSz w:w="16838" w:h="11906" w:orient="landscape"/>
      <w:pgMar w:top="680"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0D52"/>
    <w:multiLevelType w:val="hybridMultilevel"/>
    <w:tmpl w:val="F4DE78E0"/>
    <w:lvl w:ilvl="0" w:tplc="E4F091A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3C57550"/>
    <w:multiLevelType w:val="multilevel"/>
    <w:tmpl w:val="81AAF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BD73319"/>
    <w:multiLevelType w:val="multilevel"/>
    <w:tmpl w:val="EA460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6BD"/>
    <w:rsid w:val="0002387B"/>
    <w:rsid w:val="00042328"/>
    <w:rsid w:val="000707BD"/>
    <w:rsid w:val="000D3FBC"/>
    <w:rsid w:val="00145716"/>
    <w:rsid w:val="001F2A38"/>
    <w:rsid w:val="00226B52"/>
    <w:rsid w:val="0025765A"/>
    <w:rsid w:val="002F7267"/>
    <w:rsid w:val="003A4D02"/>
    <w:rsid w:val="00435A6D"/>
    <w:rsid w:val="004A0596"/>
    <w:rsid w:val="004B7D4D"/>
    <w:rsid w:val="004E2EB6"/>
    <w:rsid w:val="00516085"/>
    <w:rsid w:val="00517CF4"/>
    <w:rsid w:val="005744F8"/>
    <w:rsid w:val="005835B3"/>
    <w:rsid w:val="005B4730"/>
    <w:rsid w:val="005C66BD"/>
    <w:rsid w:val="00653606"/>
    <w:rsid w:val="006A508D"/>
    <w:rsid w:val="007641E2"/>
    <w:rsid w:val="007B0054"/>
    <w:rsid w:val="007B7C8C"/>
    <w:rsid w:val="00803EE2"/>
    <w:rsid w:val="0085677A"/>
    <w:rsid w:val="00893ABD"/>
    <w:rsid w:val="008D6FBD"/>
    <w:rsid w:val="00930CA0"/>
    <w:rsid w:val="009C1F6E"/>
    <w:rsid w:val="009F6DB3"/>
    <w:rsid w:val="00A85B2C"/>
    <w:rsid w:val="00AF339B"/>
    <w:rsid w:val="00B34C27"/>
    <w:rsid w:val="00B911A7"/>
    <w:rsid w:val="00C06441"/>
    <w:rsid w:val="00C84C56"/>
    <w:rsid w:val="00D94189"/>
    <w:rsid w:val="00DD18A6"/>
    <w:rsid w:val="00E208AB"/>
    <w:rsid w:val="00E83FF5"/>
    <w:rsid w:val="00F16249"/>
    <w:rsid w:val="00F80630"/>
    <w:rsid w:val="00FC66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328"/>
    <w:pPr>
      <w:spacing w:after="200" w:line="276" w:lineRule="auto"/>
    </w:pPr>
    <w:rPr>
      <w:rFonts w:cs="Calibri"/>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A50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42328"/>
    <w:pPr>
      <w:ind w:left="720"/>
      <w:contextualSpacing/>
    </w:pPr>
  </w:style>
  <w:style w:type="paragraph" w:customStyle="1" w:styleId="Default">
    <w:name w:val="Default"/>
    <w:uiPriority w:val="99"/>
    <w:rsid w:val="004A0596"/>
    <w:pPr>
      <w:autoSpaceDE w:val="0"/>
      <w:autoSpaceDN w:val="0"/>
      <w:adjustRightInd w:val="0"/>
    </w:pPr>
    <w:rPr>
      <w:rFonts w:ascii="Times New Roman" w:hAnsi="Times New Roman"/>
      <w:color w:val="000000"/>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8</Pages>
  <Words>1456</Words>
  <Characters>8304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ПРОЄКТУ РІШЕННЯ</dc:title>
  <dc:subject/>
  <dc:creator>Молодіжний Центр</dc:creator>
  <cp:keywords/>
  <dc:description/>
  <cp:lastModifiedBy>sekretar</cp:lastModifiedBy>
  <cp:revision>5</cp:revision>
  <dcterms:created xsi:type="dcterms:W3CDTF">2025-02-06T10:54:00Z</dcterms:created>
  <dcterms:modified xsi:type="dcterms:W3CDTF">2025-02-21T08:23:00Z</dcterms:modified>
</cp:coreProperties>
</file>