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ПУБЛІЧНИЙ ДОГОВІР</w:t>
      </w:r>
    </w:p>
    <w:p w:rsidR="00186F8E" w:rsidRPr="0021430C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централізованого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EC3751" w:rsidRDefault="00EC3751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м.Рожище</w:t>
      </w:r>
      <w:proofErr w:type="spellEnd"/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EC3751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Підприємство житлово-комунального господарства Рожищ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нської міської ради</w:t>
      </w:r>
      <w:r w:rsidR="00186F8E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 </w:t>
      </w:r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особі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Іщука Олександра Володимировича</w:t>
      </w:r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діє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підставі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Статуту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підприємства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іменується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подальшому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»,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однієї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сторони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та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фізична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юридична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особа,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власником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співвласником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користувачем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нерухомого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майна -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індивідуальним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споживачем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далі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іншої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сторони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(разом -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сторони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уклали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договір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таке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numPr>
          <w:ilvl w:val="0"/>
          <w:numId w:val="1"/>
        </w:numPr>
        <w:shd w:val="clear" w:color="auto" w:fill="FFFFFF"/>
        <w:spacing w:after="0" w:line="240" w:lineRule="auto"/>
        <w:ind w:left="100" w:right="100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Основні поняття та визначення термінів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1.1. 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Публічний</w:t>
      </w:r>
      <w:proofErr w:type="spellEnd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догові</w:t>
      </w:r>
      <w:proofErr w:type="gram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правочин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отримання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централізованого</w:t>
      </w:r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встановлює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однакові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всіх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умовах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оферти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моменту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її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акцептування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1.2. 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Публічна</w:t>
      </w:r>
      <w:proofErr w:type="spellEnd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оферта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пропозиція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адресована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будь-якій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фізичній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юридичній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статтею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641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Цивільного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укласти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ним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містяться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публічній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оферті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1.3. 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Акцепт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безумовної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пропозицію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укласти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умовах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публічною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офертою шляхом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оформлення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та/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підписання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заяви-замовлення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приєднання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договору,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свідчить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прийняття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ним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оферти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1.4.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Споживач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уклала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Договір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1.5. 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Сторона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1.6. 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Сторони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1.7.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терміни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використовуються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Договорі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вживаються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значеннях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наведених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«Про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житлово-комунальні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», в «Правилах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централізованого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водопостачання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централізованого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водовідведення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типових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договорів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централізованого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водопостачання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централізованого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водовідведення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затверджених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Постановою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КМУ № 690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05.07.2019 р., «Правилах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системами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централізованого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комунального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водопостачання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водовідведеннях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населених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пунктах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затверджених</w:t>
      </w:r>
      <w:proofErr w:type="spellEnd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остановлю КМУ № 936/15627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07.0.2008 р.</w:t>
      </w:r>
    </w:p>
    <w:p w:rsidR="00186F8E" w:rsidRPr="00186F8E" w:rsidRDefault="00186F8E" w:rsidP="00186F8E">
      <w:pPr>
        <w:numPr>
          <w:ilvl w:val="0"/>
          <w:numId w:val="2"/>
        </w:numPr>
        <w:shd w:val="clear" w:color="auto" w:fill="FFFFFF"/>
        <w:spacing w:after="0" w:line="240" w:lineRule="auto"/>
        <w:ind w:left="100" w:right="100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Загальні положення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2.1. Цей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далі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Договір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публічним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договором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приєднання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встановлює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централізованого</w:t>
      </w:r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  <w:r w:rsidR="0021430C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далі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індивідуальному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співвласником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багатоквартирного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власником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індивідуального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садибного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далі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). Цей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укладається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сторонами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Закону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«Про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житлово-комунальні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урахуванням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статей 633, 634, 641, 642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Цивільного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2.2. Цей Договір є формуляром, який може бути укладений лише шляхом приєднання Споживача до запропонованого договору в цілому. Друга сторона не може запропонувати свої умови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2.3. На вимогу Споживача з ним може бути укладений індивідуальний договір, при цьому істотні умови в індивідуальному договорі (порядок надання послуг, тариф на послуги та інше) не повинні відрізнятися від публічного договору або надати на письмову вимогу Споживача завірену печаткою письмову форму цього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2.4. Фактом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приєднання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умов Договору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акцептування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вчинення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будь-яких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дій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ідчать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бажання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укласти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Договір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зокрема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підписаної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Заяви-приєднання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Додаток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 до Договору),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сплата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рахунку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факт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отримання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2.5. Укладаючи цей Договір Споживач автоматично погоджується з повним та безумовним прийняття положень Договору, тарифів та норм накопичення, що діятимуть на момент акцептування цього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2.6. Виконавець самостійно у відповідності та на виконання вимог чинного законодавства України визначає умови Договору. Виконавець самостійно має право змінити умови Договору з обов’язковим повідомленням про це Споживачів на офіційному сайті 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Рожищенської міської ради Луцького району Волинської області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 При внесені змін до цього Договору та/або Правил користування Послугою, Виконавець розміщує повідомлення про такі зміни на офіційному сайті громади не менше ніж за 10 (десять) календарних днів до вступу змін в силу. При цьому Виконавець гарантує та підтверджує, що розміщена на Сайті Виконавця поточна редакція тексту цього Договору є дійсною.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3. Предмет договору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3.1. Виконавець зобов’язується надати Споживачеві вчасно та відповідної якості послуги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централізованого</w:t>
      </w:r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, а Споживач зобов’язується сплачувати надані послуги за встановленими тарифами у строки та на умовах, передбачених Договором.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3.2.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забезпечує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якість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холодної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води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вимог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державних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санітарних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правил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тиском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холодної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води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параметрів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державними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будівельними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нормами,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межі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інженерно-технічних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систем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інженерно-технічних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систем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3.3.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надаються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безперервно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крім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часу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перерв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частиною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першою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статті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16 Закону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“Про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житлово-комунальні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”.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централізованого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водовідведення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мережі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мереж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мереж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4. Тарифи на послуги та їх загальна вартість</w:t>
      </w:r>
    </w:p>
    <w:p w:rsidR="00186F8E" w:rsidRPr="0021430C" w:rsidRDefault="0021430C" w:rsidP="00214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4.1. Тариф</w:t>
      </w:r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на послуг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у</w:t>
      </w:r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з централізованого постачання холодної води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становить</w:t>
      </w:r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EC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27.12</w:t>
      </w:r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гривень</w:t>
      </w:r>
      <w:proofErr w:type="spellEnd"/>
      <w:r w:rsidR="00186F8E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/куб. метр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на послугу з централізованого водовідведення тариф становить </w:t>
      </w:r>
      <w:r w:rsidRPr="0021430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/>
        </w:rPr>
        <w:t>36,54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гривень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/куб. метр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4.2. Плата за надані послуги за наявності засобів обліку води здійснюється за їх показами згідно Постанови Кабінету Міністрів України від 21 липня 2005 року № 630, правил надання послуг з централізованого опалення, постачання холодної та гарячої води і водовідведення за умов цього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4.3. Наявність пільг зі сплати послуг (Постанова КМУ № 1102 від 24.12.2019 р.).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5. Облік та порядок оплати спожитих послуг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5.1. Розрахунковим періодом є календарний місяць. Платежі вносити та надавати показники обліку не пізніше 5 числа місяця, що настає за розрахунковим періодом.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5.2. Послуги сплачуються готівкою або безготівковою формами.</w:t>
      </w:r>
    </w:p>
    <w:p w:rsidR="00186F8E" w:rsidRPr="00EC3751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5.3. Плата вноситься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рахунок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UA</w:t>
      </w:r>
      <w:r w:rsidR="00EC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143052990000026004020805734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у КБ ПАТ «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Приватбанк</w:t>
      </w:r>
      <w:proofErr w:type="spellEnd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» ЄДРПОУ </w:t>
      </w:r>
      <w:r w:rsidR="00EC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</w:t>
      </w:r>
      <w:r w:rsidR="00EC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1184014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через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каси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банківських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пунктах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прийому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платежі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5.4. За наявності засобів обліку води здійснення плати за нормативами (нормами) споживання не допускається, крім випадків, передбачених договором на встановлення засобів обліку.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5.5. За несвоєчасне внесення плати із Споживача стягується пеня в розмірі, встановленому діючим законодавством.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5.6. У разі без облікового використання, Виконавець виконує розрахунок витрат води з пропускною спроможністю труби вводу, швидкості руху води в ній 2,0 м/с т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а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дією її повним перерізом протягом 24 год. на добу.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lastRenderedPageBreak/>
        <w:t>5.7. Водовикористання вважається без обліковим, якщо Споживач самовільно приєднався до систем центрального комунального водопостачання та водовідведення або самовільно користується ними, а також при несправній роботі лічильника.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5.8. Розрахунковий період при без обліковому використанні встановлюється з дня початку такого користування. Якщо термін без облікового використання встановити неможливо, розрахунковий період становить 5 (п’ять) місяців.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6. Права та обов’язки сторін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6.1. Споживач має право на: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1) отримання вчасно та відповідної якості послуг згідно із законодавством та умовами Договору;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2) отримання у встановленому законодавством порядку інформації про перелік послуг, вартість, загальну суму місячного платежу, структуру тарифів, нормативів (норм) споживання, режиму надання послуг, їх споживчої властивості;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3) укладання з Виконавцем Договору на заміну або ремонт санітарно-технічних приладів, пристроїв, обладнання обліку, що вийшли з ладу.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6.2. Споживач зобов’язаний: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1) установити засоби обліку та забезпечити їх взяття на абонентський облік;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2) робити періодичну перевірку, обслуговування та ремонт засобів обліку;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3) оплачувати послуги у встановлені Договором строки;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4) повідомляти Виконавця про осіб, строк тимчасового проживання яких у будинку (садибного типу) перевищив 1 місяць, а також про зміни у стані підсобного господарства і санітарно-технічного та інженерного обладнання протягом місяця за умови проведення розрахунків про надання послуг згідно з нормативами (нормами) споживання;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5) забезпечити доступ до мережі, арматури, засобів обліку води представників Виконавця за наявності у них відповідного службового посвідчення;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для ліквідації аварії цілодобово;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для встановлення і заміни санітарно-технічного та інженерного обладнання, проведення технічного та профілактичного огляду, зняття контрольних показань засобів обліку води згідно з вимогами нормативно-правових актів у сфері житлово-комунальних послуг;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6) дотримання вимог нормативно-правових актів у сфері житлово-комунальних послуг;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7) забезпечувати цілісність та збереження засобів обліку, пломб та деталей пломбування, встановлених Виконавцем. Знімати пломби обліку має право лише Виконавець. У разі самовільних дій Споживач сплачує витрати води згідно п. 5.6;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8) у разі несвоєчасного внесення плати за послуги сплачувати пеню у встановленому законом та Договором розмірі;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9) у разі втрати права на пільг, повідомляти про це Виконавця в десятиденний строк;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10) своєчасно вживати заходів щодо усунення виявлених несправностей, пов’язаних з отримання послуг, що виникли з його провини, або на тій частині водоводу, яка знаходиться в його обслуговуванні, якщо інше не встановлено Договором;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11) за власний рахунок проводити ремонт та заміну санітарно-технічних приладів, пристроїв та обладнання, що вийшли з ладу з його вини;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12) своєчасно проводити підготовку будинку садибного типу і встановлених санітарно-технічних приладів, пристроїв та обладнання до експлуатації в осінньо-зимовий період;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13) у разі виявлення Виконавцем несанкціонованого втручання в роботу засобів обліку, відшкодувати вартість робіт з проведення із експертизи, метрологічної повірки та ремонту гідно з діючим законодавством;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14) відшкодовувати Виконавцю витрати на проведення аналізу якісних показників послуг у разі необґрунтованих претензій.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6.3. Виконавець має право: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1) нараховувати у разі несвоєчасного внесення Споживачем плати за надані послуги пеню в розмірі встановленому законом та Договором;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lastRenderedPageBreak/>
        <w:t>2) вимагати від Споживача дотримання нормативно-правових актів у сфері житлово-комунальних послуг та умов цього Договору;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3) вимагати від Споживача своєчасне усунення виявлених несправностей, пов’язаних з отриманням послуг, що виникли з його вини на тій частині водопроводу, яка знаходиться в його обслуговуванні, або відшкодування вартості відповідних робіт;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4)доступу у приміщення Споживача для ліквідації аварій, в тому числі несанкціонованого відповідно до встановленого законом порядку, усунення недоліків в роботі санітарно-технічного обладнання, його встановлення і заміни, проведення технічного та профілактичного огляду і перевірки показань засобів обліку води відповідно діючого законодавства;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5) здійснювати контроль за технічним станом інженерного обладнання будівель, вимагати термінового усунення витоків з водопровідних мереж та обладнання, забезпечувати встановлення, обслуговування та заміну вузлів комерційного обліку холодної води відповідно до Закону України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“Про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комерційний облік теплової енергії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водопостачання”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6) вимагати від споживача дотримання правил експлуатації жилих приміщень та прибудинкової території, санітарно-гігієнічних правил і правил пожежної безпеки, вимог інших нормативно-правових актів у сфері комунальних послуг;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7) вимагати від споживача проведення робіт з усунення виявлених неполадок, пов’язаних з отриманням послуг, що виникли з вини споживача, або відшкодування вартості таких робіт;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8)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обмежити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припинити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їх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неоплати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оплати не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обсязі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порядку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строки,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законом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договором,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крім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випадків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коли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якість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та/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кількість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таких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відповідають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умовам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9)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звертатися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суду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порушення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умов договору;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10)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отримувати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інформацію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зміну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власника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об’єкта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нерухомого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майна)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фактичної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кількості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осіб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постійно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проживають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випадках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порядку,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передбачених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11) у разі виникнення сумнівів щодо правильності показань засобів обліку води, звернутися до акредитованої лабораторії для проведення експертизи їх технічного стану та метрологічної перевірки.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6.4. Виконавець зобов’язаний: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1) забезпечувати вчасне та відповідної якості надання послуг згідно із законодавством та умовами Договору;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2) надавати Споживачеві в установленому законодавством порядку інформацію про перелік послуг, їх вартість, загальну суму місячного платежу, структуру тарифів, нормативів (норм) споживання, режиму надання послуг, їх споживчої властивості;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3) контролювати установлені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міжпровіркові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інтервали періодичну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провірку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засобів обліку води;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4) відновлювати надання послуг за заявою Споживача шляхом зняття пломб протягом доби;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5) здійснювати контроль за технічним станом санітарно-технічного, інженерного обладнання будинків садибного типу;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6) своєчасно проводити за власний рахунок роботи з усунення виявлених несправностей, пов’язаних з отриманням послуг, що виникли з його вини;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7) ознайомлювати Споживача з нормативно-правовими актами у сфері житлово-комунальних послуг.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7. Відповідальність сторін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7.1. Споживач несе відповідальність згідно із чинним законодавством і цим Договором за: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1) недотриманням вимог нормативно-правових актів у сфері житлово-комунальних послуг;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2) несвоєчасне внесення платежів за послуги шляхом сплати пені;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lastRenderedPageBreak/>
        <w:t>3) втручання у роботу засобів обліку води;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4) порушення зобов’язань встановлених Договором або законодавством;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5) Споживач обслуговує, тримає в належному стані, несе відповідальність за ділянку трубопроводу від внутрішньо-будинкової мережі водопроводу до точки з’єднання з центральним водопроводом;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6) за порушення умов Договору, які тягнуть за собою збитки: несанкціоноване підключення до мережі водопостачання, витік води, не врахований лічильником у зв’язку з неналежним утриманням водоводу, що спричинило не обліковий витік води на ділянці водопроводу, що знаходиться в обслуговуванні Споживача.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7.2. Виконавець несе відповідальність у разі: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1) порушення прав Споживача згідно законодавством;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2) порушення зобов’язань, встановлених Договором або законодавством.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8. Точки розподілу, в яких здійснюється передача послуг від Виконавця Споживачеві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8.1. Точками розподілу, в яких здійснюється передача послуг від Виконавця Споживачеві є: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у будинку садибного типу-місце підключення (з’єднання) мереж Споживача (трубопровід та включно колодязі) до мереж Виконавця (центральний водовід).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8.2. Виконавець утримує та несе відповідальність лише за власну мережу трубопроводу (центральний водовід).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9. Порядок обмеження (припинення) надання послуг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9.1. Виконавець обмежує (припиняє) надання послуг у разі: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ремонтних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проф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ілактичних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робіт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згідно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будівельними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нормами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правилами, правилами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технічної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експлуатації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поточного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капітального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ремонтів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нормативно-правовими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актами через 10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днів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після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повідомлення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шляхом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опублікування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офіційному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сайті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1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Рожишенської</w:t>
      </w:r>
      <w:proofErr w:type="spellEnd"/>
      <w:r w:rsidR="00491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міської ради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спосіб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гарантує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інформації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кожного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зазначенням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причини та строку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ліквідації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аварії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повідомивши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опублікування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офіційному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сайті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491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Рожищенської міської ради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спосіб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гарантує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доведення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інформації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перерву не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ізніше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ніж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через три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години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початку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перерви. 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повідомленні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зазначається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причина та строк перерви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9.2.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обмежити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припинити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непогашення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обсязі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заборгованості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протягом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днів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дня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отримання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попередження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частини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четвертої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статті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26 Закону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«Про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житлово-комунальні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9.3. 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непогашення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обсязі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заборгованості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надсилає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попередження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те,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непогашення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ним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заборгованості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оплати за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протягом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днів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дня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отримання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попередження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може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бути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спочатку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потім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припинено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попередження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надсилається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раніше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наступного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робочого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дня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ісля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закінчення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граничного строку оплати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законодавством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та/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договором.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Попередження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надсилається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рекомендованим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листом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повідомленням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вручення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особисто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спосіб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: шляхом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повідомлення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через, СМС,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мобільні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додатки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Viber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WhatsApp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Telegram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тощо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9.4. 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непогашення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заборгованості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протягом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днів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дня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отримання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попередження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виконавець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обмежити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припинити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9.5.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припинення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ідставою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розірвання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9.6. 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відновлюється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обсязі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протягом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наступного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дня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погашення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заборгованості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фактично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укладення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угоди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реструктуризацію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заборгованості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9.7. Витрати виконавця, пов’язані з відновленням надання послуги споживачеві,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10. Порядок розв’язання спорів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10.1. У разі порушення Виконавцем умов Договору, Споживач викликає представника Виконавця для складання та підписання акта-претензії Споживача, в якому зазначаються строки, види порушень кількісних та якісних показників послуг тощо.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Представник Виконавця повинен з’явитися на виклик Споживача не пізніше 2 (двох) робочих днів.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Акт-претензія складається Споживачем та представником Виконавця і скріплюється їх підписами. У разі неприбуття представника Виконавця у зазначений Договором строк або обґрунтованої відмови від підписання, акт-претензія вважається дійсною, якщо його підписали не менш,як два Споживачі.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10.2. Акт-претензія подається Виконавцю, який протягом 3 (трьох) днів вирішує питання про перерахунок платежів або видає Споживачеві обґрунтовану письмову відмову в задоволенні його претензій.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10.3. Виконавець може відмовити Споживачеві в задоволенні його претензій щодо відхилення кількісних і якісних показників послуг на підставі: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показань реєстраційних технічних засобів, атестованих та опломбованих відповідними органами Держспоживстандарту;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правильності показань засобів обліку води;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аналізу якості води.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У разі обґрунтованості претензій Споживача, витрати пов’язані з їх перевіркою, відшкодовуються Виконавцем, у разі необґрунтованості – Споживачем.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10.4. Спори між сторонами розв’язуються шляхом переговорів або у судовому порядку.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11. Форс-мажорні обставини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11.1. Сторони звільняються від відповідальності за цим Договором у разі настання обставин непереборної сили (дії надзвичайних ситуацій техногенного, природного або екологічного характеру), яка унеможливлює надання відповідної послуги згідно з умовами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11.2. Сторона, яка не може виконати прийнятих на себе зобов’язань внаслідок дії форс-мажорних обставин, зобов’язана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11.3. У разі настання форс-мажорних обставин строк дії договору продовжується або припиняється за згодою сторін.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12. Строк </w:t>
      </w: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дії</w:t>
      </w:r>
      <w:proofErr w:type="spellEnd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договору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12.1. Даний Договір укладається з урахуванням вимог ч.3 ст.205, ст.ст. 631, 633, 634, 641, 642 Цивільного Кодексу України без підписання письмового примірника Сторонами.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12.2. Цей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набирає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чинності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дня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акцептування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але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раніше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ніж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через 30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днів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моменту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опублікування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офіційному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сайті Рожищенської міської ради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поширюється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всіх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Споживачів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Рожищенської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територіальної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громади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12.3. Договір є публічним і безстроковим та діє до його припинення будь-якою зі Сторін у порядку, встановленому цим Договором або чинним законодавством.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12.4. Дія договору припиняється у разі: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смерті фізичної особи – Споживача;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прийняття рішення про ліквідацію юридичної особи – Споживача (Виконавця) або визнання його банкрутом;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lastRenderedPageBreak/>
        <w:t>- припинення відповідного договору між Виконавцем та органом місцевого самоврядування (чи уповноваженою ним особою) на надання послуг з постачання холодної води на певній території населеного пункту;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дострокового розірвання договору в порядку та на підставах, встановлених цивільним законодавством або за домовленістю сторін.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Дія договору припиняється шляхом розірвання за: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взаємною згодою сторін;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- рішенням суду на вимогу однієї із сторін у разі порушення істотних умов договору другою стороною.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У разі розірвання договору зобов’язання припиняються з моменту досягнення домовленості про розірвання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13. Інші умови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13.1. У разі виникнення у Споживача заборгованості з оплати за спожиту воду, Сторони за взаємною згодою та у порядку, передбаченому законодавством України, укладають договір, що до реструктуризації заборгованості. При цьому оформлюється графік погашення заборгованості, який є додатком до даного Договору.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13.2. Укладення Сторонами та дотримання Споживачем узгодженого графіка погашення заборгованості не звільняє Споживача від оплати поточного споживання води.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13.3. У разі порушення Споживачем узгодженого графіка погашення існуючої заборгованості постачальник має право у порядку, визначальному розділу 9 цього договору, припинити постачання води Споживачу.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13.4. Тарифи на холодну воду і стічні води затверджуються рішенням органу місцевого самоврядування. У разі зміни тарифів, діючих на момент укладання цього Договору, Споживач зобов’яз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аний здійснювати сплату наданих в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иконав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цем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послуг водопостачання за новими тарифами з моменту затвердження тарифів.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13.5. У разі отримання прав на пільги Споживач подає Виконавцю письмову заяву та документи, що підтверджують право на пільгу.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13.6. Оплата за послуги з урахуванням пільг нараховується з дати подання документів, що підтверджують право на пільгу.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13.7. У разі встановлення засобів обліку, їх показники розподіляються пропорційно кількістю мешканців.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13.8. Пільги надаються Виконавцем відповідно до Закону України «Про бюджет» на поточний рік, якщо в поточному році передбачена субвенція на надання послуг.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13.9. В разі, якщо водо лічильник на вводі відсутній, або не працює з вини Споживача, при виявленні представником Виконавця витоку води в мережах Споживача внаслідок їх пошкодження або нераціонального водокористування, а також в разі не облікового витоку води в мережі трубопроводу, що знаходиться в обслуговуванні Споживача (частина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трубопровода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, включно колодязі до з’єднання з центральним водоводом Виконавця), Виконавець виконує згідно п. 5.6 Договору для фізичних осіб та «Правил користування системами централізованого комунального водопостачання та водовідведення в населених пунктах України» зареєстрованих Міністерством юстиції України від 7 жовтня 2008 р. №936/15627 для юридичних осіб, розрахунок витрат води в такому порядку здійснюється за пропускною здатністю труби вводу при швидкості руху води в ній (розраховується у відповідності до табл.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Шевельова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).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13.10. Забороняється будь-яке самовільне приєднання водо споживача до діючих систем центрального водопостачання та водовідведення (включаючи приєднання до будинкових вводів, внутрішньо-будинкових мереж або мереж споживачів). Уразі самовільного приєднання розрахунок здійснюється згідно п. 5.6 цього Договору для фізичних осіб та «Правил користування системами централізованого комунального водопостачання та водовідведення в населених пунктах України» для юридичних осіб.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13.11. Не дозволяється складання матеріалів і предметів, накопичування сміття ближче ніж за 5 метрів від осі водопровідних і каналізаційних мереж і пристроїв та в межах 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lastRenderedPageBreak/>
        <w:t>охоронних санітарних зон; самовільне спорудження над водопровідними і каналізаційними мережами та пристроями будь-яких будівель та предметів благоустрою; здійснювати роботи на мережах централізованого водопостачання та водовідведення, відкривати ляди колодязів, спускатися в них, регулювати засувки без присутності представників Виконавця.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13.12. У разі пошкодження мереж, споруд водопостачання або водовідведення особи, що виявили таке пошкодження, зобов’язані повідомити про це Виконавця та здійснити всі можливі заходи щодо усунення наслідків цього пошкодження.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Довідкові відомості – аварійні та ремонтні служби тел.</w:t>
      </w:r>
      <w:r w:rsidR="00EC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03368 2-13-39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Місцезнаходження та реквізити Виконавця: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tbl>
      <w:tblPr>
        <w:tblpPr w:leftFromText="45" w:rightFromText="45" w:topFromText="133" w:bottomFromText="133" w:vertAnchor="text"/>
        <w:tblW w:w="5750" w:type="dxa"/>
        <w:tblCellMar>
          <w:left w:w="0" w:type="dxa"/>
          <w:right w:w="0" w:type="dxa"/>
        </w:tblCellMar>
        <w:tblLook w:val="04A0"/>
      </w:tblPr>
      <w:tblGrid>
        <w:gridCol w:w="5750"/>
      </w:tblGrid>
      <w:tr w:rsidR="00186F8E" w:rsidRPr="00186F8E" w:rsidTr="00186F8E">
        <w:trPr>
          <w:trHeight w:val="189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163" w:type="dxa"/>
              <w:tblLook w:val="01E0"/>
            </w:tblPr>
            <w:tblGrid>
              <w:gridCol w:w="5028"/>
              <w:gridCol w:w="135"/>
            </w:tblGrid>
            <w:tr w:rsidR="00EC3751" w:rsidRPr="00BA75BE" w:rsidTr="00EC3751">
              <w:trPr>
                <w:gridAfter w:val="1"/>
                <w:wAfter w:w="135" w:type="dxa"/>
              </w:trPr>
              <w:tc>
                <w:tcPr>
                  <w:tcW w:w="5028" w:type="dxa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75BE">
                    <w:rPr>
                      <w:b/>
                      <w:sz w:val="20"/>
                      <w:szCs w:val="20"/>
                      <w:lang w:val="uk-UA"/>
                    </w:rPr>
                    <w:t>Виконавець</w:t>
                  </w: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  <w:t>Підприємство житлово-комунального</w:t>
                  </w: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  <w:t xml:space="preserve">господарства  Рожищенської міської ради </w:t>
                  </w: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адреса: 45100,Волинська обл.,</w:t>
                  </w: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 xml:space="preserve"> м. Рожище, вул. Волонтерська, 34</w:t>
                  </w: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Рахунок – UA 14305299 00000 26004020805734</w:t>
                  </w: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МФО 305299</w:t>
                  </w: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АТ КБ «</w:t>
                  </w:r>
                  <w:proofErr w:type="spellStart"/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ПриватБанк</w:t>
                  </w:r>
                  <w:proofErr w:type="spellEnd"/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»</w:t>
                  </w: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EC3751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тел. (03368) 2-13-39,</w:t>
                  </w: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e-</w:t>
                  </w:r>
                  <w:proofErr w:type="spellStart"/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>mail</w:t>
                  </w:r>
                  <w:proofErr w:type="spellEnd"/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 xml:space="preserve">: </w:t>
                  </w:r>
                  <w:hyperlink r:id="rId6" w:history="1">
                    <w:r w:rsidRPr="00BA75BE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de-DE" w:eastAsia="zh-CN"/>
                      </w:rPr>
                      <w:t>rogekom</w:t>
                    </w:r>
                    <w:r w:rsidRPr="00BA75BE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uk-UA" w:eastAsia="zh-CN"/>
                      </w:rPr>
                      <w:t>@</w:t>
                    </w:r>
                    <w:r w:rsidRPr="00BA75BE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de-DE" w:eastAsia="zh-CN"/>
                      </w:rPr>
                      <w:t>gmail</w:t>
                    </w:r>
                    <w:r w:rsidRPr="00BA75BE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uk-UA" w:eastAsia="zh-CN"/>
                      </w:rPr>
                      <w:t>.</w:t>
                    </w:r>
                    <w:r w:rsidRPr="00BA75BE">
                      <w:rPr>
                        <w:rFonts w:eastAsia="Calibri"/>
                        <w:color w:val="0000FF"/>
                        <w:sz w:val="20"/>
                        <w:szCs w:val="20"/>
                        <w:u w:val="single"/>
                        <w:lang w:val="de-DE" w:eastAsia="zh-CN"/>
                      </w:rPr>
                      <w:t>com</w:t>
                    </w:r>
                  </w:hyperlink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  <w:t xml:space="preserve">Директор </w:t>
                  </w: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sz w:val="20"/>
                      <w:szCs w:val="20"/>
                      <w:lang w:val="uk-UA" w:eastAsia="zh-CN"/>
                    </w:rPr>
                  </w:pPr>
                </w:p>
              </w:tc>
            </w:tr>
            <w:tr w:rsidR="00EC3751" w:rsidRPr="00BA75BE" w:rsidTr="00EC3751">
              <w:tc>
                <w:tcPr>
                  <w:tcW w:w="5163" w:type="dxa"/>
                  <w:gridSpan w:val="2"/>
                </w:tcPr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</w:pPr>
                  <w:r w:rsidRPr="00BA75BE"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  <w:t>____________________О.ІЩУК</w:t>
                  </w:r>
                </w:p>
                <w:p w:rsidR="00EC3751" w:rsidRPr="00BA75BE" w:rsidRDefault="00EC3751" w:rsidP="00180A0D">
                  <w:pPr>
                    <w:framePr w:hSpace="45" w:vSpace="133" w:wrap="around" w:vAnchor="text" w:hAnchor="text"/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</w:pPr>
                  <w:proofErr w:type="spellStart"/>
                  <w:r w:rsidRPr="00BA75BE"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  <w:t>м.п</w:t>
                  </w:r>
                  <w:proofErr w:type="spellEnd"/>
                  <w:r w:rsidRPr="00BA75BE">
                    <w:rPr>
                      <w:rFonts w:eastAsia="Calibri"/>
                      <w:b/>
                      <w:sz w:val="20"/>
                      <w:szCs w:val="20"/>
                      <w:lang w:val="uk-UA" w:eastAsia="zh-CN"/>
                    </w:rPr>
                    <w:t>.</w:t>
                  </w:r>
                </w:p>
              </w:tc>
            </w:tr>
          </w:tbl>
          <w:p w:rsidR="00186F8E" w:rsidRPr="00186F8E" w:rsidRDefault="00186F8E" w:rsidP="0018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  <w:lang w:val="uk-UA"/>
        </w:rPr>
        <w:t> </w:t>
      </w: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 w:rsidP="0018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EC3751" w:rsidRDefault="00EC3751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br w:type="page"/>
      </w:r>
    </w:p>
    <w:p w:rsidR="000A4470" w:rsidRPr="0021430C" w:rsidRDefault="00186F8E" w:rsidP="000A4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ДОДАТОК 1 до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 </w:t>
      </w:r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0A4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централізованого</w:t>
      </w:r>
      <w:r w:rsidR="000A4470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A4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0A4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0A4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A44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</w:p>
    <w:p w:rsidR="00186F8E" w:rsidRPr="00186F8E" w:rsidRDefault="00186F8E" w:rsidP="000A4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Заява-приєднання</w:t>
      </w:r>
      <w:proofErr w:type="spellEnd"/>
    </w:p>
    <w:p w:rsidR="00186F8E" w:rsidRPr="00186F8E" w:rsidRDefault="00186F8E" w:rsidP="00186F8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Ознайомившись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умовами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централізованого</w:t>
      </w:r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далі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Договір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офіційному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веб-сайті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Рожищенської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0A44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міської ради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приєднуюсь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Договору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централізованого</w:t>
      </w:r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  <w:r w:rsidR="0021430C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виконавцем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</w:t>
      </w:r>
      <w:proofErr w:type="gramEnd"/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ідприємство житлово-комунального господарства Рожищенської міської ради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такими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нижченаведеними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даними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1.Інформація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найменування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ізвище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ім’я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батькові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________________________________________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ідентифікаційний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номер (І</w:t>
      </w:r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ПН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/код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згідно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ЄДРПОУ) _______________________________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адреса _______________________________________________________________________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номер телефону _______________________________________________________________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адреса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електронної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пошти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_____________________________________________________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2) адреса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приміщення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вулиця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номер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__________ номер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квартири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приміщення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 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населений пункт 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район _____________________________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область ___________________________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індекс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____________________________;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кількість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зареєстрованих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проживаючих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осіб</w:t>
      </w:r>
      <w:proofErr w:type="spellEnd"/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житловому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будинку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споживача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4)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інформація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наявність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ільг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субсидій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_______________________________________.</w:t>
      </w:r>
    </w:p>
    <w:p w:rsidR="00186F8E" w:rsidRPr="00186F8E" w:rsidRDefault="00186F8E" w:rsidP="00186F8E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186F8E">
        <w:rPr>
          <w:rFonts w:ascii="Arial" w:eastAsia="Times New Roman" w:hAnsi="Arial" w:cs="Arial"/>
          <w:color w:val="333333"/>
          <w:sz w:val="9"/>
          <w:szCs w:val="9"/>
        </w:rPr>
        <w:t> 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proofErr w:type="spellStart"/>
      <w:proofErr w:type="gram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</w:t>
      </w:r>
      <w:proofErr w:type="gram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ією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заявою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я, без будь –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примусу,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добровільно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приймаю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умови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приєднуюсь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публічного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 про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надання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централізованого</w:t>
      </w:r>
      <w:r w:rsidR="0021430C"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водо</w:t>
      </w:r>
      <w:proofErr w:type="spellStart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постачання</w:t>
      </w:r>
      <w:proofErr w:type="spellEnd"/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214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та/або централізованого водовідведення</w:t>
      </w:r>
      <w:r w:rsidR="0021430C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Рожищенської територіальної громади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C3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Підприємством житлово-комунального господарства Рожищенської міської ради</w:t>
      </w:r>
      <w:r w:rsidR="00EC3751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опублікованих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сайті</w:t>
      </w:r>
      <w:proofErr w:type="spellEnd"/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EC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Рожищенської міської ради</w:t>
      </w:r>
      <w:r w:rsidRPr="0018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1. Я ознайомлений з Договором про надання послуг з постачання холодної </w:t>
      </w:r>
      <w:r w:rsidR="00491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води</w:t>
      </w: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 Обов’язки споживача за договором приймаю у повному обсязі та зобов’язуюсь їх виконувати.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2. Я у повному обсязі розумію, що з моменту акцептування цієї заяви-приєднання в установленому порядку Споживач та Виконавець набувають всіх прав та обов’язків за Договором і несуть відповідальність за їх невиконання (неналежне виконання) згідно з умовами Договору та чинного законодавства України.</w:t>
      </w:r>
    </w:p>
    <w:p w:rsidR="00186F8E" w:rsidRPr="00491763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3. Зобов’язуюсь повідомляти </w:t>
      </w:r>
      <w:r w:rsidR="00491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Підприємство житлово-комунального господарства Рожищенської міської ради</w:t>
      </w:r>
      <w:r w:rsidR="00491763"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4917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про зміну власника майна (споживача).</w:t>
      </w:r>
    </w:p>
    <w:p w:rsidR="00186F8E" w:rsidRPr="00186F8E" w:rsidRDefault="00186F8E" w:rsidP="0018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val="uk-UA"/>
        </w:rPr>
      </w:pPr>
      <w:r w:rsidRPr="00186F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4.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tbl>
      <w:tblPr>
        <w:tblW w:w="5750" w:type="dxa"/>
        <w:tblCellMar>
          <w:left w:w="0" w:type="dxa"/>
          <w:right w:w="0" w:type="dxa"/>
        </w:tblCellMar>
        <w:tblLook w:val="04A0"/>
      </w:tblPr>
      <w:tblGrid>
        <w:gridCol w:w="1740"/>
        <w:gridCol w:w="3000"/>
        <w:gridCol w:w="2640"/>
      </w:tblGrid>
      <w:tr w:rsidR="00186F8E" w:rsidRPr="00186F8E" w:rsidTr="00186F8E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8E" w:rsidRPr="00186F8E" w:rsidRDefault="00186F8E" w:rsidP="00186F8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</w:t>
            </w: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(дата)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8E" w:rsidRPr="00186F8E" w:rsidRDefault="00186F8E" w:rsidP="00186F8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</w:t>
            </w: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</w:t>
            </w:r>
            <w:proofErr w:type="spellStart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особистий</w:t>
            </w:r>
            <w:proofErr w:type="spellEnd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ідпис</w:t>
            </w:r>
            <w:proofErr w:type="spellEnd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8E" w:rsidRPr="00186F8E" w:rsidRDefault="00186F8E" w:rsidP="00186F8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</w:t>
            </w:r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(П.І.Б. </w:t>
            </w:r>
            <w:proofErr w:type="spellStart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Споживача</w:t>
            </w:r>
            <w:proofErr w:type="spellEnd"/>
            <w:r w:rsidRPr="00186F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4C664D" w:rsidRDefault="004C664D"/>
    <w:sectPr w:rsidR="004C664D" w:rsidSect="00CE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F6E"/>
    <w:multiLevelType w:val="multilevel"/>
    <w:tmpl w:val="FB742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B2C42"/>
    <w:multiLevelType w:val="multilevel"/>
    <w:tmpl w:val="4CB0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186F8E"/>
    <w:rsid w:val="000A4470"/>
    <w:rsid w:val="00180A0D"/>
    <w:rsid w:val="00186F8E"/>
    <w:rsid w:val="0021430C"/>
    <w:rsid w:val="00491763"/>
    <w:rsid w:val="004C664D"/>
    <w:rsid w:val="00922CE0"/>
    <w:rsid w:val="00930D7E"/>
    <w:rsid w:val="00CE6315"/>
    <w:rsid w:val="00D819A6"/>
    <w:rsid w:val="00E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gek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76DC-D47C-4CF4-B6C7-F527E409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27951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mailto:rogekom@gmail.com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8888</cp:lastModifiedBy>
  <cp:revision>4</cp:revision>
  <dcterms:created xsi:type="dcterms:W3CDTF">2024-05-08T05:34:00Z</dcterms:created>
  <dcterms:modified xsi:type="dcterms:W3CDTF">2024-05-08T08:25:00Z</dcterms:modified>
</cp:coreProperties>
</file>